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E7" w:rsidRDefault="000274E7">
      <w:pPr>
        <w:rPr>
          <w:rFonts w:cstheme="minorHAnsi"/>
        </w:rPr>
      </w:pPr>
    </w:p>
    <w:p w:rsidR="000274E7" w:rsidRDefault="000274E7">
      <w:pPr>
        <w:rPr>
          <w:rFonts w:cstheme="minorHAnsi"/>
        </w:rPr>
      </w:pPr>
    </w:p>
    <w:p w:rsidR="00F94EA1" w:rsidRDefault="00F94EA1">
      <w:pPr>
        <w:rPr>
          <w:rFonts w:cstheme="minorHAnsi"/>
        </w:rPr>
      </w:pPr>
    </w:p>
    <w:p w:rsidR="00F94EA1" w:rsidRDefault="00F94EA1">
      <w:pPr>
        <w:rPr>
          <w:rFonts w:cstheme="minorHAnsi"/>
        </w:rPr>
      </w:pPr>
    </w:p>
    <w:p w:rsidR="000274E7" w:rsidRDefault="000274E7">
      <w:pPr>
        <w:rPr>
          <w:rFonts w:cstheme="minorHAnsi"/>
        </w:rPr>
      </w:pPr>
    </w:p>
    <w:p w:rsidR="000274E7" w:rsidRDefault="00F94EA1">
      <w:pPr>
        <w:rPr>
          <w:rFonts w:cstheme="minorHAnsi"/>
        </w:rPr>
      </w:pPr>
      <w:r w:rsidRPr="00797881">
        <w:rPr>
          <w:rFonts w:cstheme="minorHAnsi"/>
          <w:noProof/>
          <w:lang w:eastAsia="en-AU"/>
        </w:rPr>
        <w:drawing>
          <wp:anchor distT="0" distB="0" distL="114300" distR="114300" simplePos="0" relativeHeight="251670528" behindDoc="1" locked="0" layoutInCell="1" allowOverlap="1" wp14:anchorId="58D1D505" wp14:editId="04E617BB">
            <wp:simplePos x="0" y="0"/>
            <wp:positionH relativeFrom="column">
              <wp:posOffset>1209675</wp:posOffset>
            </wp:positionH>
            <wp:positionV relativeFrom="page">
              <wp:posOffset>2847975</wp:posOffset>
            </wp:positionV>
            <wp:extent cx="3203575" cy="1971675"/>
            <wp:effectExtent l="0" t="0" r="0" b="9525"/>
            <wp:wrapTight wrapText="bothSides">
              <wp:wrapPolygon edited="0">
                <wp:start x="0" y="0"/>
                <wp:lineTo x="0" y="21496"/>
                <wp:lineTo x="21450" y="21496"/>
                <wp:lineTo x="21450" y="0"/>
                <wp:lineTo x="0" y="0"/>
              </wp:wrapPolygon>
            </wp:wrapTight>
            <wp:docPr id="1" name="Picture 1" descr="C:\Users\jb\Dropbox\CUDA Jane files\Logos Templates\CUD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Dropbox\CUDA Jane files\Logos Templates\CUDA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357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74E7" w:rsidRDefault="000274E7">
      <w:pPr>
        <w:rPr>
          <w:rFonts w:cstheme="minorHAnsi"/>
        </w:rPr>
      </w:pPr>
    </w:p>
    <w:p w:rsidR="000274E7" w:rsidRDefault="000274E7">
      <w:pPr>
        <w:rPr>
          <w:rFonts w:cstheme="minorHAnsi"/>
        </w:rPr>
      </w:pPr>
    </w:p>
    <w:p w:rsidR="000274E7" w:rsidRDefault="000274E7">
      <w:pPr>
        <w:rPr>
          <w:rFonts w:cstheme="minorHAnsi"/>
        </w:rPr>
      </w:pPr>
    </w:p>
    <w:p w:rsidR="000274E7" w:rsidRDefault="000274E7">
      <w:pPr>
        <w:rPr>
          <w:rFonts w:cstheme="minorHAnsi"/>
        </w:rPr>
      </w:pPr>
    </w:p>
    <w:p w:rsidR="000274E7" w:rsidRDefault="000274E7">
      <w:pPr>
        <w:rPr>
          <w:rFonts w:cstheme="minorHAnsi"/>
        </w:rPr>
      </w:pPr>
    </w:p>
    <w:p w:rsidR="000274E7" w:rsidRDefault="000274E7">
      <w:pPr>
        <w:rPr>
          <w:rFonts w:cstheme="minorHAnsi"/>
        </w:rPr>
      </w:pPr>
    </w:p>
    <w:p w:rsidR="000274E7" w:rsidRPr="000274E7" w:rsidRDefault="000274E7" w:rsidP="00F94EA1">
      <w:pPr>
        <w:rPr>
          <w:rFonts w:cstheme="minorHAnsi"/>
        </w:rPr>
      </w:pPr>
    </w:p>
    <w:p w:rsidR="000274E7" w:rsidRDefault="000274E7" w:rsidP="00F94EA1">
      <w:pPr>
        <w:jc w:val="center"/>
        <w:rPr>
          <w:rFonts w:cstheme="minorHAnsi"/>
        </w:rPr>
      </w:pPr>
    </w:p>
    <w:p w:rsidR="000274E7" w:rsidRPr="008F1487" w:rsidRDefault="000274E7" w:rsidP="000274E7">
      <w:pPr>
        <w:tabs>
          <w:tab w:val="left" w:pos="1890"/>
        </w:tabs>
        <w:jc w:val="center"/>
        <w:rPr>
          <w:rFonts w:cstheme="minorHAnsi"/>
          <w:color w:val="025790"/>
          <w:sz w:val="52"/>
          <w:szCs w:val="52"/>
        </w:rPr>
      </w:pPr>
      <w:r w:rsidRPr="008F1487">
        <w:rPr>
          <w:rFonts w:cstheme="minorHAnsi"/>
          <w:color w:val="025790"/>
          <w:sz w:val="52"/>
          <w:szCs w:val="52"/>
        </w:rPr>
        <w:t>Annual Report 2016-2017</w:t>
      </w:r>
    </w:p>
    <w:p w:rsidR="00F94EA1" w:rsidRPr="00F94EA1" w:rsidRDefault="00F94EA1" w:rsidP="000274E7">
      <w:pPr>
        <w:tabs>
          <w:tab w:val="left" w:pos="1890"/>
        </w:tabs>
        <w:jc w:val="center"/>
        <w:rPr>
          <w:rFonts w:cstheme="minorHAnsi"/>
        </w:rPr>
      </w:pPr>
    </w:p>
    <w:p w:rsidR="00F94EA1" w:rsidRPr="00F94EA1" w:rsidRDefault="00F94EA1" w:rsidP="000274E7">
      <w:pPr>
        <w:tabs>
          <w:tab w:val="left" w:pos="1890"/>
        </w:tabs>
        <w:jc w:val="center"/>
        <w:rPr>
          <w:rFonts w:cstheme="minorHAnsi"/>
        </w:rPr>
      </w:pPr>
    </w:p>
    <w:p w:rsidR="00F94EA1" w:rsidRPr="00F94EA1" w:rsidRDefault="00F94EA1" w:rsidP="000274E7">
      <w:pPr>
        <w:tabs>
          <w:tab w:val="left" w:pos="1890"/>
        </w:tabs>
        <w:jc w:val="center"/>
        <w:rPr>
          <w:rFonts w:cstheme="minorHAnsi"/>
        </w:rPr>
      </w:pPr>
    </w:p>
    <w:p w:rsidR="00F94EA1" w:rsidRPr="00F94EA1" w:rsidRDefault="00F94EA1" w:rsidP="000274E7">
      <w:pPr>
        <w:tabs>
          <w:tab w:val="left" w:pos="1890"/>
        </w:tabs>
        <w:jc w:val="center"/>
        <w:rPr>
          <w:rFonts w:cstheme="minorHAnsi"/>
        </w:rPr>
      </w:pPr>
    </w:p>
    <w:p w:rsidR="00F94EA1" w:rsidRDefault="00F94EA1" w:rsidP="000274E7">
      <w:pPr>
        <w:tabs>
          <w:tab w:val="left" w:pos="1890"/>
        </w:tabs>
        <w:jc w:val="center"/>
        <w:rPr>
          <w:rFonts w:cstheme="minorHAnsi"/>
        </w:rPr>
      </w:pPr>
    </w:p>
    <w:p w:rsidR="00F94EA1" w:rsidRDefault="00F94EA1" w:rsidP="000274E7">
      <w:pPr>
        <w:tabs>
          <w:tab w:val="left" w:pos="1890"/>
        </w:tabs>
        <w:jc w:val="center"/>
        <w:rPr>
          <w:rFonts w:cstheme="minorHAnsi"/>
        </w:rPr>
      </w:pPr>
    </w:p>
    <w:p w:rsidR="00F94EA1" w:rsidRPr="00F94EA1" w:rsidRDefault="00F94EA1" w:rsidP="000274E7">
      <w:pPr>
        <w:tabs>
          <w:tab w:val="left" w:pos="1890"/>
        </w:tabs>
        <w:jc w:val="center"/>
        <w:rPr>
          <w:rFonts w:cstheme="minorHAnsi"/>
        </w:rPr>
      </w:pPr>
    </w:p>
    <w:p w:rsidR="00F94EA1" w:rsidRPr="00F94EA1" w:rsidRDefault="00F94EA1" w:rsidP="000274E7">
      <w:pPr>
        <w:tabs>
          <w:tab w:val="left" w:pos="1890"/>
        </w:tabs>
        <w:jc w:val="center"/>
        <w:rPr>
          <w:rFonts w:cstheme="minorHAnsi"/>
        </w:rPr>
      </w:pPr>
    </w:p>
    <w:p w:rsidR="00F94EA1" w:rsidRDefault="00F94EA1" w:rsidP="000274E7">
      <w:pPr>
        <w:tabs>
          <w:tab w:val="left" w:pos="1890"/>
        </w:tabs>
        <w:jc w:val="center"/>
        <w:rPr>
          <w:rFonts w:cstheme="minorHAnsi"/>
        </w:rPr>
      </w:pPr>
    </w:p>
    <w:p w:rsidR="00F94EA1" w:rsidRPr="00F94EA1" w:rsidRDefault="00F94EA1">
      <w:pPr>
        <w:rPr>
          <w:rFonts w:cstheme="minorHAnsi"/>
        </w:rPr>
      </w:pPr>
      <w:r>
        <w:rPr>
          <w:rFonts w:cstheme="minorHAnsi"/>
          <w:sz w:val="52"/>
          <w:szCs w:val="52"/>
        </w:rPr>
        <w:br w:type="page"/>
      </w:r>
    </w:p>
    <w:p w:rsidR="00F94EA1" w:rsidRPr="008F1487" w:rsidRDefault="00F94EA1" w:rsidP="000274E7">
      <w:pPr>
        <w:tabs>
          <w:tab w:val="left" w:pos="1890"/>
        </w:tabs>
        <w:jc w:val="center"/>
        <w:rPr>
          <w:rFonts w:cstheme="minorHAnsi"/>
          <w:color w:val="0070C0"/>
          <w:sz w:val="8"/>
          <w:szCs w:val="8"/>
        </w:rPr>
      </w:pPr>
    </w:p>
    <w:p w:rsidR="00646FE8" w:rsidRPr="008F1487" w:rsidRDefault="000274E7" w:rsidP="00F94EA1">
      <w:pPr>
        <w:rPr>
          <w:rFonts w:cstheme="minorHAnsi"/>
          <w:b/>
          <w:color w:val="0070C0"/>
          <w:sz w:val="30"/>
          <w:szCs w:val="30"/>
        </w:rPr>
      </w:pPr>
      <w:r w:rsidRPr="008F1487">
        <w:rPr>
          <w:rFonts w:cstheme="minorHAnsi"/>
          <w:b/>
          <w:color w:val="0070C0"/>
          <w:sz w:val="30"/>
          <w:szCs w:val="30"/>
        </w:rPr>
        <w:t>Chairperson’s Report</w:t>
      </w:r>
    </w:p>
    <w:p w:rsidR="00646FE8" w:rsidRPr="008F1487" w:rsidRDefault="00646FE8" w:rsidP="007F0239">
      <w:pPr>
        <w:spacing w:after="120" w:line="276" w:lineRule="auto"/>
        <w:rPr>
          <w:rFonts w:cstheme="minorHAnsi"/>
          <w:color w:val="0070C0"/>
        </w:rPr>
      </w:pPr>
    </w:p>
    <w:p w:rsidR="00561067" w:rsidRPr="008F1487" w:rsidRDefault="00646FE8" w:rsidP="007F0239">
      <w:pPr>
        <w:spacing w:after="120" w:line="276" w:lineRule="auto"/>
        <w:rPr>
          <w:rFonts w:cstheme="minorHAnsi"/>
          <w:b/>
          <w:color w:val="0070C0"/>
          <w:sz w:val="28"/>
          <w:szCs w:val="28"/>
        </w:rPr>
      </w:pPr>
      <w:r w:rsidRPr="008F1487">
        <w:rPr>
          <w:rFonts w:cstheme="minorHAnsi"/>
          <w:b/>
          <w:color w:val="0070C0"/>
          <w:sz w:val="28"/>
          <w:szCs w:val="28"/>
        </w:rPr>
        <w:t>Background</w:t>
      </w:r>
    </w:p>
    <w:p w:rsidR="00646FE8" w:rsidRPr="00797881" w:rsidRDefault="00646FE8" w:rsidP="007F0239">
      <w:pPr>
        <w:spacing w:after="120" w:line="276" w:lineRule="auto"/>
        <w:rPr>
          <w:rFonts w:cstheme="minorHAnsi"/>
        </w:rPr>
      </w:pPr>
      <w:r w:rsidRPr="00797881">
        <w:rPr>
          <w:rFonts w:cstheme="minorHAnsi"/>
        </w:rPr>
        <w:t xml:space="preserve">Centre for Universal Design Australia Ltd was founded 11 January 2016 with three directors, Jane Bringolf, Sally </w:t>
      </w:r>
      <w:proofErr w:type="spellStart"/>
      <w:r w:rsidRPr="00797881">
        <w:rPr>
          <w:rFonts w:cstheme="minorHAnsi"/>
        </w:rPr>
        <w:t>Coddington</w:t>
      </w:r>
      <w:proofErr w:type="spellEnd"/>
      <w:r w:rsidRPr="00797881">
        <w:rPr>
          <w:rFonts w:cstheme="minorHAnsi"/>
        </w:rPr>
        <w:t xml:space="preserve"> and Nicholas </w:t>
      </w:r>
      <w:proofErr w:type="spellStart"/>
      <w:r w:rsidRPr="00797881">
        <w:rPr>
          <w:rFonts w:cstheme="minorHAnsi"/>
        </w:rPr>
        <w:t>Loder</w:t>
      </w:r>
      <w:proofErr w:type="spellEnd"/>
      <w:r w:rsidRPr="00797881">
        <w:rPr>
          <w:rFonts w:cstheme="minorHAnsi"/>
        </w:rPr>
        <w:t xml:space="preserve">. Pro bono assistance with setting up the organisation as a company limited by guarantee (a not-for-profit entity) was provided by Stuart Cameron of KS Black &amp; Co. </w:t>
      </w:r>
    </w:p>
    <w:p w:rsidR="00646FE8" w:rsidRPr="00797881" w:rsidRDefault="00646FE8" w:rsidP="007F0239">
      <w:pPr>
        <w:spacing w:after="120" w:line="276" w:lineRule="auto"/>
        <w:rPr>
          <w:rFonts w:cstheme="minorHAnsi"/>
        </w:rPr>
      </w:pPr>
      <w:r w:rsidRPr="00797881">
        <w:rPr>
          <w:rFonts w:cstheme="minorHAnsi"/>
        </w:rPr>
        <w:t>Subsequent to the setting up of the organisation, a call for expressions of interest for five remaining director positions was made in July 2016. The closing date for submissions was set after the staging of the 2</w:t>
      </w:r>
      <w:r w:rsidRPr="00797881">
        <w:rPr>
          <w:rFonts w:cstheme="minorHAnsi"/>
          <w:vertAlign w:val="superscript"/>
        </w:rPr>
        <w:t>nd</w:t>
      </w:r>
      <w:r w:rsidRPr="00797881">
        <w:rPr>
          <w:rFonts w:cstheme="minorHAnsi"/>
        </w:rPr>
        <w:t xml:space="preserve"> Australian Universal Design Conference in late August. Five additional directors were appointed: two from New South Wales, two from Victoria and one from Queensland.</w:t>
      </w:r>
    </w:p>
    <w:p w:rsidR="00561067" w:rsidRPr="00797881" w:rsidRDefault="00561067" w:rsidP="007F0239">
      <w:pPr>
        <w:spacing w:after="120" w:line="276" w:lineRule="auto"/>
        <w:rPr>
          <w:rFonts w:cstheme="minorHAnsi"/>
        </w:rPr>
      </w:pPr>
      <w:r w:rsidRPr="00797881">
        <w:rPr>
          <w:rFonts w:cstheme="minorHAnsi"/>
        </w:rPr>
        <w:t>Membership</w:t>
      </w:r>
      <w:r w:rsidR="00BB4922" w:rsidRPr="00797881">
        <w:rPr>
          <w:rFonts w:cstheme="minorHAnsi"/>
        </w:rPr>
        <w:t xml:space="preserve"> for individuals</w:t>
      </w:r>
      <w:r w:rsidRPr="00797881">
        <w:rPr>
          <w:rFonts w:cstheme="minorHAnsi"/>
        </w:rPr>
        <w:t xml:space="preserve"> was </w:t>
      </w:r>
      <w:r w:rsidR="00BB4922" w:rsidRPr="00797881">
        <w:rPr>
          <w:rFonts w:cstheme="minorHAnsi"/>
        </w:rPr>
        <w:t>offered</w:t>
      </w:r>
      <w:r w:rsidRPr="00797881">
        <w:rPr>
          <w:rFonts w:cstheme="minorHAnsi"/>
        </w:rPr>
        <w:t xml:space="preserve"> to the public and resulted in </w:t>
      </w:r>
      <w:r w:rsidR="00BB4922" w:rsidRPr="00797881">
        <w:rPr>
          <w:rFonts w:cstheme="minorHAnsi"/>
        </w:rPr>
        <w:t>62</w:t>
      </w:r>
      <w:r w:rsidRPr="00797881">
        <w:rPr>
          <w:rFonts w:cstheme="minorHAnsi"/>
        </w:rPr>
        <w:t xml:space="preserve"> members </w:t>
      </w:r>
      <w:r w:rsidR="00BB4922" w:rsidRPr="00797881">
        <w:rPr>
          <w:rFonts w:cstheme="minorHAnsi"/>
        </w:rPr>
        <w:t>by</w:t>
      </w:r>
      <w:r w:rsidRPr="00797881">
        <w:rPr>
          <w:rFonts w:cstheme="minorHAnsi"/>
        </w:rPr>
        <w:t xml:space="preserve"> the end of June</w:t>
      </w:r>
      <w:r w:rsidR="000274E7">
        <w:rPr>
          <w:rFonts w:cstheme="minorHAnsi"/>
        </w:rPr>
        <w:t xml:space="preserve"> 2017</w:t>
      </w:r>
      <w:r w:rsidRPr="00797881">
        <w:rPr>
          <w:rFonts w:cstheme="minorHAnsi"/>
        </w:rPr>
        <w:t xml:space="preserve">. </w:t>
      </w:r>
      <w:r w:rsidR="00BF6D17" w:rsidRPr="00797881">
        <w:rPr>
          <w:rFonts w:cstheme="minorHAnsi"/>
        </w:rPr>
        <w:t xml:space="preserve">All states are represented in </w:t>
      </w:r>
      <w:r w:rsidR="000274E7">
        <w:rPr>
          <w:rFonts w:cstheme="minorHAnsi"/>
        </w:rPr>
        <w:t>our</w:t>
      </w:r>
      <w:r w:rsidR="00BF6D17" w:rsidRPr="00797881">
        <w:rPr>
          <w:rFonts w:cstheme="minorHAnsi"/>
        </w:rPr>
        <w:t xml:space="preserve"> membership </w:t>
      </w:r>
      <w:r w:rsidR="000274E7">
        <w:rPr>
          <w:rFonts w:cstheme="minorHAnsi"/>
        </w:rPr>
        <w:t xml:space="preserve">base </w:t>
      </w:r>
      <w:r w:rsidR="00BF6D17" w:rsidRPr="00797881">
        <w:rPr>
          <w:rFonts w:cstheme="minorHAnsi"/>
        </w:rPr>
        <w:t>with the majority coming from New South Wales and Victoria.</w:t>
      </w:r>
    </w:p>
    <w:p w:rsidR="00D7519B" w:rsidRDefault="00D7519B" w:rsidP="007F0239">
      <w:pPr>
        <w:spacing w:after="120" w:line="276" w:lineRule="auto"/>
        <w:rPr>
          <w:rFonts w:cstheme="minorHAnsi"/>
          <w:b/>
          <w:sz w:val="28"/>
          <w:szCs w:val="28"/>
        </w:rPr>
      </w:pPr>
    </w:p>
    <w:p w:rsidR="00804C70" w:rsidRPr="008F1487" w:rsidRDefault="00804C70" w:rsidP="007F0239">
      <w:pPr>
        <w:spacing w:after="120" w:line="276" w:lineRule="auto"/>
        <w:rPr>
          <w:rFonts w:cstheme="minorHAnsi"/>
          <w:b/>
          <w:color w:val="0070C0"/>
          <w:sz w:val="28"/>
          <w:szCs w:val="28"/>
        </w:rPr>
      </w:pPr>
      <w:r w:rsidRPr="008F1487">
        <w:rPr>
          <w:rFonts w:cstheme="minorHAnsi"/>
          <w:b/>
          <w:color w:val="0070C0"/>
          <w:sz w:val="28"/>
          <w:szCs w:val="28"/>
        </w:rPr>
        <w:t>Activities</w:t>
      </w:r>
    </w:p>
    <w:p w:rsidR="00D7519B" w:rsidRPr="00F45DC5" w:rsidRDefault="00D7519B" w:rsidP="00D7519B">
      <w:pPr>
        <w:spacing w:after="120" w:line="276" w:lineRule="auto"/>
        <w:rPr>
          <w:rFonts w:cstheme="minorHAnsi"/>
          <w:b/>
          <w:i/>
        </w:rPr>
      </w:pPr>
      <w:r w:rsidRPr="00F45DC5">
        <w:rPr>
          <w:rFonts w:ascii="Calibri" w:eastAsia="Times New Roman" w:hAnsi="Calibri" w:cs="Calibri"/>
          <w:b/>
          <w:color w:val="000000"/>
          <w:sz w:val="22"/>
          <w:szCs w:val="22"/>
          <w:shd w:val="clear" w:color="auto" w:fill="FFFFFF"/>
          <w:lang w:eastAsia="en-AU"/>
        </w:rPr>
        <w:t>2</w:t>
      </w:r>
      <w:r w:rsidRPr="00F45DC5">
        <w:rPr>
          <w:rFonts w:ascii="Calibri" w:eastAsia="Times New Roman" w:hAnsi="Calibri" w:cs="Calibri"/>
          <w:b/>
          <w:color w:val="000000"/>
          <w:sz w:val="22"/>
          <w:szCs w:val="22"/>
          <w:shd w:val="clear" w:color="auto" w:fill="FFFFFF"/>
          <w:vertAlign w:val="superscript"/>
          <w:lang w:eastAsia="en-AU"/>
        </w:rPr>
        <w:t>nd</w:t>
      </w:r>
      <w:r w:rsidRPr="00F45DC5">
        <w:rPr>
          <w:rFonts w:ascii="Calibri" w:eastAsia="Times New Roman" w:hAnsi="Calibri" w:cs="Calibri"/>
          <w:b/>
          <w:color w:val="000000"/>
          <w:sz w:val="22"/>
          <w:szCs w:val="22"/>
          <w:shd w:val="clear" w:color="auto" w:fill="FFFFFF"/>
          <w:lang w:eastAsia="en-AU"/>
        </w:rPr>
        <w:t xml:space="preserve"> Australian Universal Design Conference</w:t>
      </w:r>
    </w:p>
    <w:p w:rsidR="00D7519B" w:rsidRPr="00797881" w:rsidRDefault="00D7519B" w:rsidP="00D7519B">
      <w:pPr>
        <w:spacing w:after="120" w:line="276" w:lineRule="auto"/>
        <w:rPr>
          <w:rFonts w:cstheme="minorHAnsi"/>
        </w:rPr>
      </w:pPr>
      <w:r w:rsidRPr="00797881">
        <w:rPr>
          <w:rFonts w:cstheme="minorHAnsi"/>
        </w:rPr>
        <w:t>The key event for this reporting period was the 2</w:t>
      </w:r>
      <w:r w:rsidRPr="00797881">
        <w:rPr>
          <w:rFonts w:cstheme="minorHAnsi"/>
          <w:vertAlign w:val="superscript"/>
        </w:rPr>
        <w:t>nd</w:t>
      </w:r>
      <w:r w:rsidRPr="00797881">
        <w:rPr>
          <w:rFonts w:cstheme="minorHAnsi"/>
        </w:rPr>
        <w:t xml:space="preserve"> Australian Universal Design Conference, which was held once again in Sydney with the sponsorship of City of Sydney and NSW Family and Community Services. Interpoint Events also sponsored with in kind contributions to the conference organising, with COTA NSW assisting. The variety of speakers over a range of topics made for a very interesting program. Planning is underway for the next conference to be held </w:t>
      </w:r>
      <w:r w:rsidR="008F1487">
        <w:rPr>
          <w:rFonts w:cstheme="minorHAnsi"/>
        </w:rPr>
        <w:t xml:space="preserve">4-5 </w:t>
      </w:r>
      <w:r w:rsidRPr="00797881">
        <w:rPr>
          <w:rFonts w:cstheme="minorHAnsi"/>
        </w:rPr>
        <w:t>September 2018 in Brisbane.</w:t>
      </w:r>
    </w:p>
    <w:p w:rsidR="001F050F" w:rsidRPr="00F45DC5" w:rsidRDefault="00F45DC5" w:rsidP="007F0239">
      <w:pPr>
        <w:spacing w:after="120" w:line="276" w:lineRule="auto"/>
        <w:rPr>
          <w:rFonts w:cstheme="minorHAnsi"/>
          <w:b/>
        </w:rPr>
      </w:pPr>
      <w:r w:rsidRPr="00F45DC5">
        <w:rPr>
          <w:rFonts w:cstheme="minorHAnsi"/>
          <w:b/>
        </w:rPr>
        <w:t>Pre</w:t>
      </w:r>
      <w:r w:rsidR="00BB4922" w:rsidRPr="00F45DC5">
        <w:rPr>
          <w:rFonts w:cstheme="minorHAnsi"/>
          <w:b/>
        </w:rPr>
        <w:t>sentation</w:t>
      </w:r>
      <w:r w:rsidR="00646FE8" w:rsidRPr="00F45DC5">
        <w:rPr>
          <w:rFonts w:cstheme="minorHAnsi"/>
          <w:b/>
        </w:rPr>
        <w:t>s</w:t>
      </w:r>
      <w:r w:rsidRPr="00F45DC5">
        <w:rPr>
          <w:rFonts w:cstheme="minorHAnsi"/>
          <w:b/>
        </w:rPr>
        <w:t>:</w:t>
      </w:r>
    </w:p>
    <w:p w:rsidR="001F050F" w:rsidRPr="00F45DC5" w:rsidRDefault="00BB4922" w:rsidP="007F0239">
      <w:pPr>
        <w:spacing w:after="120" w:line="276" w:lineRule="auto"/>
        <w:rPr>
          <w:rFonts w:cstheme="minorHAnsi"/>
          <w:i/>
        </w:rPr>
      </w:pPr>
      <w:r w:rsidRPr="00797881">
        <w:rPr>
          <w:rFonts w:cstheme="minorHAnsi"/>
        </w:rPr>
        <w:t>Meetings a</w:t>
      </w:r>
      <w:r w:rsidR="00646FE8" w:rsidRPr="00797881">
        <w:rPr>
          <w:rFonts w:cstheme="minorHAnsi"/>
        </w:rPr>
        <w:t>nd Events National Conference</w:t>
      </w:r>
      <w:r w:rsidR="00F45DC5">
        <w:rPr>
          <w:rFonts w:cstheme="minorHAnsi"/>
        </w:rPr>
        <w:t xml:space="preserve">: </w:t>
      </w:r>
      <w:r w:rsidR="00F45DC5">
        <w:rPr>
          <w:rFonts w:cstheme="minorHAnsi"/>
          <w:i/>
        </w:rPr>
        <w:t>Inclusive meetings and events</w:t>
      </w:r>
    </w:p>
    <w:p w:rsidR="001F050F" w:rsidRPr="00D7519B" w:rsidRDefault="00D7519B" w:rsidP="007F0239">
      <w:pPr>
        <w:spacing w:after="120" w:line="276" w:lineRule="auto"/>
        <w:rPr>
          <w:rFonts w:cstheme="minorHAnsi"/>
          <w:i/>
        </w:rPr>
      </w:pPr>
      <w:r>
        <w:rPr>
          <w:rFonts w:cstheme="minorHAnsi"/>
        </w:rPr>
        <w:t>Australasia-Pacific</w:t>
      </w:r>
      <w:r w:rsidR="00F45DC5">
        <w:rPr>
          <w:rFonts w:cstheme="minorHAnsi"/>
        </w:rPr>
        <w:t xml:space="preserve"> </w:t>
      </w:r>
      <w:r>
        <w:rPr>
          <w:rFonts w:cstheme="minorHAnsi"/>
        </w:rPr>
        <w:t>Post-Polio</w:t>
      </w:r>
      <w:r w:rsidR="00F45DC5">
        <w:rPr>
          <w:rFonts w:cstheme="minorHAnsi"/>
        </w:rPr>
        <w:t xml:space="preserve"> Conference</w:t>
      </w:r>
      <w:r>
        <w:rPr>
          <w:rFonts w:cstheme="minorHAnsi"/>
        </w:rPr>
        <w:t xml:space="preserve">: </w:t>
      </w:r>
      <w:r w:rsidRPr="00D7519B">
        <w:rPr>
          <w:rFonts w:cstheme="minorHAnsi"/>
          <w:i/>
        </w:rPr>
        <w:t>Universal Design: Beyond the Access Codes</w:t>
      </w:r>
    </w:p>
    <w:p w:rsidR="001F050F" w:rsidRDefault="001F050F" w:rsidP="007F0239">
      <w:pPr>
        <w:spacing w:after="120" w:line="276" w:lineRule="auto"/>
        <w:rPr>
          <w:rFonts w:cstheme="minorHAnsi"/>
        </w:rPr>
      </w:pPr>
      <w:r w:rsidRPr="00797881">
        <w:rPr>
          <w:rFonts w:cstheme="minorHAnsi"/>
        </w:rPr>
        <w:t>Universal</w:t>
      </w:r>
      <w:r w:rsidR="00F45DC5">
        <w:rPr>
          <w:rFonts w:cstheme="minorHAnsi"/>
        </w:rPr>
        <w:t xml:space="preserve"> Design Conference in Auckland: Panel member</w:t>
      </w:r>
      <w:r w:rsidR="00646FE8" w:rsidRPr="00797881">
        <w:rPr>
          <w:rFonts w:cstheme="minorHAnsi"/>
        </w:rPr>
        <w:t xml:space="preserve">  </w:t>
      </w:r>
    </w:p>
    <w:p w:rsidR="00BB3359" w:rsidRPr="00BB3359" w:rsidRDefault="00BB3359" w:rsidP="007F0239">
      <w:pPr>
        <w:spacing w:after="120" w:line="276" w:lineRule="auto"/>
        <w:rPr>
          <w:rFonts w:cstheme="minorHAnsi"/>
          <w:i/>
        </w:rPr>
      </w:pPr>
      <w:r>
        <w:rPr>
          <w:rFonts w:cstheme="minorHAnsi"/>
        </w:rPr>
        <w:t xml:space="preserve">International Conference on Transport and Health, Barcelona: Poster presentation: </w:t>
      </w:r>
      <w:r w:rsidRPr="00BB3359">
        <w:rPr>
          <w:rFonts w:cstheme="minorHAnsi"/>
          <w:i/>
        </w:rPr>
        <w:t>Silver, Goldilocks and Platinum – Finding the Sweet Spot for Health and Housing</w:t>
      </w:r>
    </w:p>
    <w:p w:rsidR="00F45DC5" w:rsidRPr="00F45DC5" w:rsidRDefault="00F45DC5" w:rsidP="007F0239">
      <w:pPr>
        <w:spacing w:after="120" w:line="276" w:lineRule="auto"/>
        <w:rPr>
          <w:rFonts w:cstheme="minorHAnsi"/>
          <w:b/>
        </w:rPr>
      </w:pPr>
      <w:r w:rsidRPr="00F45DC5">
        <w:rPr>
          <w:rFonts w:cstheme="minorHAnsi"/>
          <w:b/>
        </w:rPr>
        <w:t>Workshops</w:t>
      </w:r>
      <w:r w:rsidR="00D7519B">
        <w:rPr>
          <w:rFonts w:cstheme="minorHAnsi"/>
          <w:b/>
        </w:rPr>
        <w:t>:</w:t>
      </w:r>
    </w:p>
    <w:p w:rsidR="00F45DC5" w:rsidRDefault="00F45DC5" w:rsidP="007F0239">
      <w:pPr>
        <w:spacing w:after="120" w:line="276" w:lineRule="auto"/>
        <w:rPr>
          <w:rFonts w:cstheme="minorHAnsi"/>
        </w:rPr>
      </w:pPr>
      <w:r w:rsidRPr="00797881">
        <w:rPr>
          <w:rFonts w:cstheme="minorHAnsi"/>
        </w:rPr>
        <w:t xml:space="preserve">Tweed Shire </w:t>
      </w:r>
      <w:r>
        <w:rPr>
          <w:rFonts w:cstheme="minorHAnsi"/>
        </w:rPr>
        <w:t xml:space="preserve">Council staff workshop: </w:t>
      </w:r>
      <w:r w:rsidRPr="00F45DC5">
        <w:rPr>
          <w:rFonts w:cstheme="minorHAnsi"/>
          <w:i/>
        </w:rPr>
        <w:t>Universal Design: Beyond the Access Codes</w:t>
      </w:r>
      <w:r w:rsidRPr="00797881">
        <w:rPr>
          <w:rFonts w:cstheme="minorHAnsi"/>
        </w:rPr>
        <w:t xml:space="preserve"> </w:t>
      </w:r>
    </w:p>
    <w:p w:rsidR="001F050F" w:rsidRDefault="001F050F" w:rsidP="007F0239">
      <w:pPr>
        <w:spacing w:after="120" w:line="276" w:lineRule="auto"/>
        <w:rPr>
          <w:rFonts w:cstheme="minorHAnsi"/>
        </w:rPr>
      </w:pPr>
      <w:r>
        <w:rPr>
          <w:rFonts w:cstheme="minorHAnsi"/>
        </w:rPr>
        <w:lastRenderedPageBreak/>
        <w:t>Master Class on for Stockland on behalf of Touched by Olivia Foundation</w:t>
      </w:r>
      <w:r w:rsidR="00F45DC5">
        <w:rPr>
          <w:rFonts w:cstheme="minorHAnsi"/>
        </w:rPr>
        <w:t>:</w:t>
      </w:r>
      <w:r w:rsidR="00F45DC5" w:rsidRPr="00F45DC5">
        <w:rPr>
          <w:rFonts w:cstheme="minorHAnsi"/>
          <w:i/>
        </w:rPr>
        <w:t xml:space="preserve"> Inclusive Design Principles for Retail Play Spaces</w:t>
      </w:r>
    </w:p>
    <w:p w:rsidR="001F050F" w:rsidRDefault="00F45DC5" w:rsidP="007F0239">
      <w:pPr>
        <w:spacing w:after="120" w:line="276" w:lineRule="auto"/>
        <w:rPr>
          <w:rFonts w:cstheme="minorHAnsi"/>
        </w:rPr>
      </w:pPr>
      <w:r>
        <w:rPr>
          <w:rFonts w:cstheme="minorHAnsi"/>
        </w:rPr>
        <w:t xml:space="preserve">Sunshine Coast Regional Council Inclusive Tourism and Community Planning Forum: </w:t>
      </w:r>
      <w:r w:rsidRPr="00F45DC5">
        <w:rPr>
          <w:rFonts w:cstheme="minorHAnsi"/>
        </w:rPr>
        <w:t xml:space="preserve"> </w:t>
      </w:r>
      <w:r w:rsidRPr="00F45DC5">
        <w:rPr>
          <w:rFonts w:cstheme="minorHAnsi"/>
          <w:i/>
        </w:rPr>
        <w:t>Planning and Designing for Diversity with Universal Design</w:t>
      </w:r>
    </w:p>
    <w:p w:rsidR="00F45DC5" w:rsidRPr="00F45DC5" w:rsidRDefault="00F45DC5" w:rsidP="007F0239">
      <w:pPr>
        <w:spacing w:after="120" w:line="276" w:lineRule="auto"/>
        <w:rPr>
          <w:rFonts w:cstheme="minorHAnsi"/>
        </w:rPr>
      </w:pPr>
      <w:r w:rsidRPr="00F45DC5">
        <w:rPr>
          <w:rFonts w:cstheme="minorHAnsi"/>
        </w:rPr>
        <w:t xml:space="preserve">Auburn Council </w:t>
      </w:r>
      <w:proofErr w:type="spellStart"/>
      <w:r w:rsidRPr="00F45DC5">
        <w:rPr>
          <w:rFonts w:cstheme="minorHAnsi"/>
        </w:rPr>
        <w:t>Thinkability</w:t>
      </w:r>
      <w:proofErr w:type="spellEnd"/>
      <w:r w:rsidRPr="00F45DC5">
        <w:rPr>
          <w:rFonts w:cstheme="minorHAnsi"/>
        </w:rPr>
        <w:t xml:space="preserve"> </w:t>
      </w:r>
      <w:r w:rsidR="00D7519B">
        <w:rPr>
          <w:rFonts w:cstheme="minorHAnsi"/>
        </w:rPr>
        <w:t>Forum</w:t>
      </w:r>
      <w:r>
        <w:rPr>
          <w:rFonts w:cstheme="minorHAnsi"/>
        </w:rPr>
        <w:t xml:space="preserve">: </w:t>
      </w:r>
      <w:r w:rsidR="00D7519B" w:rsidRPr="00D7519B">
        <w:rPr>
          <w:rFonts w:cstheme="minorHAnsi"/>
          <w:i/>
        </w:rPr>
        <w:t>Advocacy around Universal Design Principles and CALD People with Disability</w:t>
      </w:r>
    </w:p>
    <w:p w:rsidR="00F45DC5" w:rsidRDefault="00646FE8" w:rsidP="007F0239">
      <w:pPr>
        <w:spacing w:after="120" w:line="276" w:lineRule="auto"/>
        <w:rPr>
          <w:rFonts w:cstheme="minorHAnsi"/>
        </w:rPr>
      </w:pPr>
      <w:r w:rsidRPr="00F45DC5">
        <w:rPr>
          <w:rFonts w:cstheme="minorHAnsi"/>
          <w:b/>
        </w:rPr>
        <w:t>Other activities</w:t>
      </w:r>
      <w:r w:rsidR="00D7519B">
        <w:rPr>
          <w:rFonts w:cstheme="minorHAnsi"/>
        </w:rPr>
        <w:t>:</w:t>
      </w:r>
    </w:p>
    <w:p w:rsidR="00E66B08" w:rsidRPr="00797881" w:rsidRDefault="00E66B08" w:rsidP="00E66B08">
      <w:pPr>
        <w:spacing w:after="120" w:line="276" w:lineRule="auto"/>
        <w:rPr>
          <w:rFonts w:cstheme="minorHAnsi"/>
        </w:rPr>
      </w:pPr>
      <w:r>
        <w:rPr>
          <w:rFonts w:cstheme="minorHAnsi"/>
        </w:rPr>
        <w:t>Submission to Senate Standing Committee on the National Disability Strategy 2010-2020 (submission number 26).</w:t>
      </w:r>
    </w:p>
    <w:p w:rsidR="00BB4922" w:rsidRDefault="00F45DC5" w:rsidP="007F0239">
      <w:pPr>
        <w:spacing w:after="120" w:line="276" w:lineRule="auto"/>
        <w:rPr>
          <w:rFonts w:cstheme="minorHAnsi"/>
        </w:rPr>
      </w:pPr>
      <w:r>
        <w:rPr>
          <w:rFonts w:cstheme="minorHAnsi"/>
        </w:rPr>
        <w:t>CUDA</w:t>
      </w:r>
      <w:r w:rsidR="00646FE8" w:rsidRPr="00797881">
        <w:rPr>
          <w:rFonts w:cstheme="minorHAnsi"/>
        </w:rPr>
        <w:t xml:space="preserve"> </w:t>
      </w:r>
      <w:r w:rsidR="008F1487">
        <w:rPr>
          <w:rFonts w:cstheme="minorHAnsi"/>
        </w:rPr>
        <w:t xml:space="preserve">was represented </w:t>
      </w:r>
      <w:r w:rsidR="00646FE8" w:rsidRPr="00797881">
        <w:rPr>
          <w:rFonts w:cstheme="minorHAnsi"/>
        </w:rPr>
        <w:t xml:space="preserve">at </w:t>
      </w:r>
      <w:r w:rsidR="00BB4922" w:rsidRPr="00797881">
        <w:rPr>
          <w:rFonts w:cstheme="minorHAnsi"/>
        </w:rPr>
        <w:t>an accessible tourism workshop run by Local Government NSW</w:t>
      </w:r>
      <w:r w:rsidR="00646FE8" w:rsidRPr="00797881">
        <w:rPr>
          <w:rFonts w:cstheme="minorHAnsi"/>
        </w:rPr>
        <w:t>,</w:t>
      </w:r>
      <w:r>
        <w:rPr>
          <w:rFonts w:cstheme="minorHAnsi"/>
        </w:rPr>
        <w:t xml:space="preserve"> </w:t>
      </w:r>
      <w:r w:rsidR="00646FE8" w:rsidRPr="00797881">
        <w:rPr>
          <w:rFonts w:cstheme="minorHAnsi"/>
        </w:rPr>
        <w:t>a</w:t>
      </w:r>
      <w:r>
        <w:rPr>
          <w:rFonts w:cstheme="minorHAnsi"/>
        </w:rPr>
        <w:t>nd a</w:t>
      </w:r>
      <w:r w:rsidR="00646FE8" w:rsidRPr="00797881">
        <w:rPr>
          <w:rFonts w:cstheme="minorHAnsi"/>
        </w:rPr>
        <w:t xml:space="preserve"> workshop by Transpo</w:t>
      </w:r>
      <w:r w:rsidR="00896461" w:rsidRPr="00797881">
        <w:rPr>
          <w:rFonts w:cstheme="minorHAnsi"/>
        </w:rPr>
        <w:t>rt</w:t>
      </w:r>
      <w:r>
        <w:rPr>
          <w:rFonts w:cstheme="minorHAnsi"/>
        </w:rPr>
        <w:t xml:space="preserve"> for NSW on Transport Futures.</w:t>
      </w:r>
    </w:p>
    <w:p w:rsidR="00E66B08" w:rsidRDefault="008F1487" w:rsidP="007F0239">
      <w:pPr>
        <w:spacing w:after="120" w:line="276" w:lineRule="auto"/>
        <w:rPr>
          <w:rFonts w:cstheme="minorHAnsi"/>
        </w:rPr>
      </w:pPr>
      <w:r>
        <w:rPr>
          <w:rFonts w:cstheme="minorHAnsi"/>
        </w:rPr>
        <w:t>Two Directors p</w:t>
      </w:r>
      <w:bookmarkStart w:id="0" w:name="_GoBack"/>
      <w:bookmarkEnd w:id="0"/>
      <w:r w:rsidR="00E66B08">
        <w:rPr>
          <w:rFonts w:cstheme="minorHAnsi"/>
        </w:rPr>
        <w:t xml:space="preserve">articipated in </w:t>
      </w:r>
      <w:r w:rsidR="000274E7">
        <w:rPr>
          <w:rFonts w:cstheme="minorHAnsi"/>
        </w:rPr>
        <w:t>research</w:t>
      </w:r>
      <w:r w:rsidR="00E66B08">
        <w:rPr>
          <w:rFonts w:cstheme="minorHAnsi"/>
        </w:rPr>
        <w:t xml:space="preserve"> for Deakin University</w:t>
      </w:r>
      <w:r w:rsidR="00DA15F3">
        <w:rPr>
          <w:rFonts w:cstheme="minorHAnsi"/>
        </w:rPr>
        <w:t>’s</w:t>
      </w:r>
      <w:r w:rsidR="00E66B08">
        <w:rPr>
          <w:rFonts w:cstheme="minorHAnsi"/>
        </w:rPr>
        <w:t xml:space="preserve"> </w:t>
      </w:r>
      <w:r w:rsidR="00DA15F3">
        <w:rPr>
          <w:rFonts w:cstheme="minorHAnsi"/>
        </w:rPr>
        <w:t>universal design project.</w:t>
      </w:r>
    </w:p>
    <w:p w:rsidR="00D7519B" w:rsidRDefault="00D7519B" w:rsidP="007F0239">
      <w:pPr>
        <w:spacing w:after="120" w:line="276" w:lineRule="auto"/>
        <w:rPr>
          <w:rFonts w:cstheme="minorHAnsi"/>
          <w:b/>
          <w:sz w:val="28"/>
          <w:szCs w:val="28"/>
        </w:rPr>
      </w:pPr>
    </w:p>
    <w:p w:rsidR="00804C70" w:rsidRPr="008F1487" w:rsidRDefault="00804C70" w:rsidP="007F0239">
      <w:pPr>
        <w:spacing w:after="120" w:line="276" w:lineRule="auto"/>
        <w:rPr>
          <w:rFonts w:cstheme="minorHAnsi"/>
          <w:b/>
          <w:color w:val="0070C0"/>
          <w:sz w:val="28"/>
          <w:szCs w:val="28"/>
        </w:rPr>
      </w:pPr>
      <w:r w:rsidRPr="008F1487">
        <w:rPr>
          <w:rFonts w:cstheme="minorHAnsi"/>
          <w:b/>
          <w:color w:val="0070C0"/>
          <w:sz w:val="28"/>
          <w:szCs w:val="28"/>
        </w:rPr>
        <w:t>Website</w:t>
      </w:r>
      <w:r w:rsidR="00D7519B" w:rsidRPr="008F1487">
        <w:rPr>
          <w:rFonts w:cstheme="minorHAnsi"/>
          <w:b/>
          <w:color w:val="0070C0"/>
          <w:sz w:val="28"/>
          <w:szCs w:val="28"/>
        </w:rPr>
        <w:t xml:space="preserve"> and social media</w:t>
      </w:r>
    </w:p>
    <w:p w:rsidR="00526C64" w:rsidRPr="00797881" w:rsidRDefault="00526C64" w:rsidP="007F0239">
      <w:pPr>
        <w:spacing w:after="120" w:line="276" w:lineRule="auto"/>
        <w:rPr>
          <w:rFonts w:cstheme="minorHAnsi"/>
        </w:rPr>
      </w:pPr>
      <w:r w:rsidRPr="00797881">
        <w:rPr>
          <w:rFonts w:cstheme="minorHAnsi"/>
        </w:rPr>
        <w:t>Activity on the</w:t>
      </w:r>
      <w:r w:rsidR="00BB4922" w:rsidRPr="00797881">
        <w:rPr>
          <w:rFonts w:cstheme="minorHAnsi"/>
        </w:rPr>
        <w:t xml:space="preserve"> website continued throughout the year and at the end of June the website had received more than 45,000 views since its inception in May 2015. </w:t>
      </w:r>
      <w:r w:rsidRPr="00797881">
        <w:rPr>
          <w:rFonts w:cstheme="minorHAnsi"/>
        </w:rPr>
        <w:t>Website views increased</w:t>
      </w:r>
      <w:r w:rsidR="00BF6D17" w:rsidRPr="00797881">
        <w:rPr>
          <w:rFonts w:cstheme="minorHAnsi"/>
        </w:rPr>
        <w:t xml:space="preserve"> this reporting period from 14,320</w:t>
      </w:r>
      <w:r w:rsidRPr="00797881">
        <w:rPr>
          <w:rFonts w:cstheme="minorHAnsi"/>
        </w:rPr>
        <w:t xml:space="preserve"> to 28,228 – almost </w:t>
      </w:r>
      <w:r w:rsidR="00BF6D17" w:rsidRPr="00797881">
        <w:rPr>
          <w:rFonts w:cstheme="minorHAnsi"/>
        </w:rPr>
        <w:t xml:space="preserve">double </w:t>
      </w:r>
      <w:r w:rsidR="00896461" w:rsidRPr="00797881">
        <w:rPr>
          <w:rFonts w:cstheme="minorHAnsi"/>
        </w:rPr>
        <w:t>compared with</w:t>
      </w:r>
      <w:r w:rsidR="00BF6D17" w:rsidRPr="00797881">
        <w:rPr>
          <w:rFonts w:cstheme="minorHAnsi"/>
        </w:rPr>
        <w:t xml:space="preserve"> the same period </w:t>
      </w:r>
      <w:r w:rsidR="00CB4834" w:rsidRPr="00797881">
        <w:rPr>
          <w:rFonts w:cstheme="minorHAnsi"/>
        </w:rPr>
        <w:t>last</w:t>
      </w:r>
      <w:r w:rsidR="00BF6D17" w:rsidRPr="00797881">
        <w:rPr>
          <w:rFonts w:cstheme="minorHAnsi"/>
        </w:rPr>
        <w:t xml:space="preserve"> year. </w:t>
      </w:r>
      <w:r w:rsidRPr="00797881">
        <w:rPr>
          <w:rFonts w:cstheme="minorHAnsi"/>
        </w:rPr>
        <w:t>Subscribers to the weekly Latest Posts increased from</w:t>
      </w:r>
      <w:r w:rsidR="00BF6D17" w:rsidRPr="00797881">
        <w:rPr>
          <w:rFonts w:cstheme="minorHAnsi"/>
        </w:rPr>
        <w:t xml:space="preserve"> 151</w:t>
      </w:r>
      <w:r w:rsidRPr="00797881">
        <w:rPr>
          <w:rFonts w:cstheme="minorHAnsi"/>
        </w:rPr>
        <w:t xml:space="preserve"> to</w:t>
      </w:r>
      <w:r w:rsidR="00BF6D17" w:rsidRPr="00797881">
        <w:rPr>
          <w:rFonts w:cstheme="minorHAnsi"/>
        </w:rPr>
        <w:t xml:space="preserve"> 234. The website was set up to accept credit card payments as well as PayPal.</w:t>
      </w:r>
    </w:p>
    <w:p w:rsidR="00BB4922" w:rsidRPr="00797881" w:rsidRDefault="00CB3F57" w:rsidP="007F0239">
      <w:pPr>
        <w:spacing w:after="120" w:line="276" w:lineRule="auto"/>
        <w:rPr>
          <w:rFonts w:cstheme="minorHAnsi"/>
        </w:rPr>
      </w:pPr>
      <w:r w:rsidRPr="00797881">
        <w:rPr>
          <w:rFonts w:cstheme="minorHAnsi"/>
        </w:rPr>
        <w:t>S</w:t>
      </w:r>
      <w:r w:rsidR="00BB4922" w:rsidRPr="00797881">
        <w:rPr>
          <w:rFonts w:cstheme="minorHAnsi"/>
        </w:rPr>
        <w:t>ubscribers</w:t>
      </w:r>
      <w:r w:rsidRPr="00797881">
        <w:rPr>
          <w:rFonts w:cstheme="minorHAnsi"/>
        </w:rPr>
        <w:t xml:space="preserve"> to the Latest Posts (newsletter)</w:t>
      </w:r>
      <w:r w:rsidR="00BB4922" w:rsidRPr="00797881">
        <w:rPr>
          <w:rFonts w:cstheme="minorHAnsi"/>
        </w:rPr>
        <w:t xml:space="preserve"> numbered 243 and</w:t>
      </w:r>
      <w:r w:rsidR="00896461" w:rsidRPr="00797881">
        <w:rPr>
          <w:rFonts w:cstheme="minorHAnsi"/>
        </w:rPr>
        <w:t xml:space="preserve"> at the end of June 2017</w:t>
      </w:r>
      <w:r w:rsidR="00BB4922" w:rsidRPr="00797881">
        <w:rPr>
          <w:rFonts w:cstheme="minorHAnsi"/>
        </w:rPr>
        <w:t xml:space="preserve"> there were 660 current posts on topics across the built environment, product design, human rights, ICT, travel and tourism, and UD in Learning.</w:t>
      </w:r>
      <w:r w:rsidRPr="00797881">
        <w:rPr>
          <w:rFonts w:cstheme="minorHAnsi"/>
        </w:rPr>
        <w:t xml:space="preserve"> </w:t>
      </w:r>
      <w:r w:rsidR="00BB4922" w:rsidRPr="00797881">
        <w:rPr>
          <w:rFonts w:cstheme="minorHAnsi"/>
        </w:rPr>
        <w:t>Social media attention increased over this time using Facebook, Linked In and to a lesser degree, Twitter</w:t>
      </w:r>
      <w:r w:rsidRPr="00797881">
        <w:rPr>
          <w:rFonts w:cstheme="minorHAnsi"/>
        </w:rPr>
        <w:t>, to promote the latest posts on the website. Social media is also good for</w:t>
      </w:r>
      <w:r w:rsidR="00896461" w:rsidRPr="00797881">
        <w:rPr>
          <w:rFonts w:cstheme="minorHAnsi"/>
        </w:rPr>
        <w:t xml:space="preserve"> additional</w:t>
      </w:r>
      <w:r w:rsidRPr="00797881">
        <w:rPr>
          <w:rFonts w:cstheme="minorHAnsi"/>
        </w:rPr>
        <w:t xml:space="preserve"> </w:t>
      </w:r>
      <w:r w:rsidR="00646FE8" w:rsidRPr="00797881">
        <w:rPr>
          <w:rFonts w:cstheme="minorHAnsi"/>
        </w:rPr>
        <w:t>material that does</w:t>
      </w:r>
      <w:r w:rsidRPr="00797881">
        <w:rPr>
          <w:rFonts w:cstheme="minorHAnsi"/>
        </w:rPr>
        <w:t xml:space="preserve"> not meet with the clearinghouse style of the website, but can</w:t>
      </w:r>
      <w:r w:rsidR="000274E7">
        <w:rPr>
          <w:rFonts w:cstheme="minorHAnsi"/>
        </w:rPr>
        <w:t xml:space="preserve"> also</w:t>
      </w:r>
      <w:r w:rsidR="00646FE8" w:rsidRPr="00797881">
        <w:rPr>
          <w:rFonts w:cstheme="minorHAnsi"/>
        </w:rPr>
        <w:t xml:space="preserve"> be informative.</w:t>
      </w:r>
      <w:r w:rsidRPr="00797881">
        <w:rPr>
          <w:rFonts w:cstheme="minorHAnsi"/>
        </w:rPr>
        <w:t xml:space="preserve"> </w:t>
      </w:r>
    </w:p>
    <w:p w:rsidR="00AA6DEA" w:rsidRPr="00AA6DEA" w:rsidRDefault="005E37E2">
      <w:pPr>
        <w:rPr>
          <w:rFonts w:cstheme="minorHAnsi"/>
          <w:b/>
        </w:rPr>
      </w:pPr>
      <w:r>
        <w:rPr>
          <w:rFonts w:cstheme="minorHAnsi"/>
          <w:b/>
        </w:rPr>
        <w:t xml:space="preserve">Dr </w:t>
      </w:r>
      <w:r w:rsidR="00AA6DEA" w:rsidRPr="00AA6DEA">
        <w:rPr>
          <w:rFonts w:cstheme="minorHAnsi"/>
          <w:b/>
        </w:rPr>
        <w:t>Jane Bringolf</w:t>
      </w:r>
    </w:p>
    <w:p w:rsidR="00AA6DEA" w:rsidRPr="005E37E2" w:rsidRDefault="00AA6DEA">
      <w:pPr>
        <w:rPr>
          <w:rFonts w:cstheme="minorHAnsi"/>
          <w:i/>
        </w:rPr>
      </w:pPr>
      <w:r w:rsidRPr="005E37E2">
        <w:rPr>
          <w:rFonts w:cstheme="minorHAnsi"/>
          <w:i/>
        </w:rPr>
        <w:t>Chair, Centre for Universal Design Australia Ltd</w:t>
      </w:r>
    </w:p>
    <w:p w:rsidR="00BB3359" w:rsidRDefault="00AA6DEA">
      <w:pPr>
        <w:rPr>
          <w:rFonts w:cstheme="minorHAnsi"/>
        </w:rPr>
      </w:pPr>
      <w:r>
        <w:rPr>
          <w:rFonts w:cstheme="minorHAnsi"/>
        </w:rPr>
        <w:t>14 September 2017</w:t>
      </w:r>
      <w:r w:rsidR="00BB3359">
        <w:rPr>
          <w:rFonts w:cstheme="minorHAnsi"/>
        </w:rPr>
        <w:br w:type="page"/>
      </w:r>
    </w:p>
    <w:p w:rsidR="00646FE8" w:rsidRPr="008F1487" w:rsidRDefault="00BB3359" w:rsidP="00BB3359">
      <w:pPr>
        <w:spacing w:after="120" w:line="276" w:lineRule="auto"/>
        <w:jc w:val="center"/>
        <w:rPr>
          <w:rFonts w:cstheme="minorHAnsi"/>
          <w:b/>
          <w:color w:val="0070C0"/>
          <w:sz w:val="28"/>
          <w:szCs w:val="28"/>
        </w:rPr>
      </w:pPr>
      <w:r w:rsidRPr="008F1487">
        <w:rPr>
          <w:rFonts w:cstheme="minorHAnsi"/>
          <w:b/>
          <w:color w:val="0070C0"/>
          <w:sz w:val="28"/>
          <w:szCs w:val="28"/>
        </w:rPr>
        <w:lastRenderedPageBreak/>
        <w:t xml:space="preserve">Board of </w:t>
      </w:r>
      <w:r w:rsidR="00D15485" w:rsidRPr="008F1487">
        <w:rPr>
          <w:rFonts w:cstheme="minorHAnsi"/>
          <w:b/>
          <w:color w:val="0070C0"/>
          <w:sz w:val="28"/>
          <w:szCs w:val="28"/>
        </w:rPr>
        <w:t>Directors</w:t>
      </w:r>
      <w:r w:rsidR="008F1487">
        <w:rPr>
          <w:rFonts w:cstheme="minorHAnsi"/>
          <w:b/>
          <w:color w:val="0070C0"/>
          <w:sz w:val="28"/>
          <w:szCs w:val="28"/>
        </w:rPr>
        <w:t xml:space="preserve"> 2016-2017</w:t>
      </w:r>
    </w:p>
    <w:p w:rsidR="00BB3359" w:rsidRPr="00BB3359" w:rsidRDefault="00BB3359" w:rsidP="00BB3359">
      <w:pPr>
        <w:spacing w:after="120" w:line="276" w:lineRule="auto"/>
        <w:jc w:val="center"/>
        <w:rPr>
          <w:rFonts w:cstheme="minorHAnsi"/>
          <w:b/>
          <w:sz w:val="20"/>
          <w:szCs w:val="20"/>
        </w:rPr>
      </w:pPr>
    </w:p>
    <w:p w:rsidR="00D15485" w:rsidRPr="00797881" w:rsidRDefault="00FD73B3" w:rsidP="007F0239">
      <w:pPr>
        <w:spacing w:after="120" w:line="276" w:lineRule="auto"/>
        <w:rPr>
          <w:rFonts w:cstheme="minorHAnsi"/>
        </w:rPr>
      </w:pPr>
      <w:r w:rsidRPr="00797881">
        <w:rPr>
          <w:rFonts w:cstheme="minorHAnsi"/>
          <w:b/>
          <w:noProof/>
          <w:lang w:eastAsia="en-AU"/>
        </w:rPr>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1029962" cy="1028700"/>
            <wp:effectExtent l="0" t="0" r="0" b="0"/>
            <wp:wrapSquare wrapText="bothSides"/>
            <wp:docPr id="3" name="Picture 3" descr="C:\Users\jb\Dropbox\Jane Share\Jane's Documents\IMG_1541 Jane lectern hea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Dropbox\Jane Share\Jane's Documents\IMG_1541 Jane lectern head on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962"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485" w:rsidRPr="00797881">
        <w:rPr>
          <w:rFonts w:cstheme="minorHAnsi"/>
          <w:b/>
        </w:rPr>
        <w:t>Jane Bringolf</w:t>
      </w:r>
      <w:r w:rsidRPr="00797881">
        <w:rPr>
          <w:rFonts w:cstheme="minorHAnsi"/>
          <w:b/>
        </w:rPr>
        <w:t>:</w:t>
      </w:r>
      <w:r w:rsidRPr="00797881">
        <w:rPr>
          <w:rFonts w:cstheme="minorHAnsi"/>
        </w:rPr>
        <w:t xml:space="preserve"> B</w:t>
      </w:r>
      <w:r w:rsidR="00162A99">
        <w:rPr>
          <w:rFonts w:cstheme="minorHAnsi"/>
        </w:rPr>
        <w:t>SSc, MBA, PhD, Churchill Fellow (Chair).</w:t>
      </w:r>
    </w:p>
    <w:p w:rsidR="00FD73B3" w:rsidRPr="00797881" w:rsidRDefault="00FD73B3" w:rsidP="007F0239">
      <w:pPr>
        <w:shd w:val="clear" w:color="auto" w:fill="FFFFFF"/>
        <w:spacing w:after="120" w:line="276" w:lineRule="auto"/>
        <w:rPr>
          <w:rFonts w:cstheme="minorHAnsi"/>
          <w:color w:val="222222"/>
          <w:lang w:eastAsia="en-AU"/>
        </w:rPr>
      </w:pPr>
      <w:r w:rsidRPr="00797881">
        <w:rPr>
          <w:rFonts w:cstheme="minorHAnsi"/>
          <w:color w:val="222222"/>
          <w:lang w:eastAsia="en-AU"/>
        </w:rPr>
        <w:t xml:space="preserve">Jane has worked in community services for more than thirty years and has a broad understanding of the sector, particularly ageing and disability. A recipient of a Churchill Fellowship in 2004, Jane travelled overseas to investigate organisations pursuing universal design, accessible environments and assistive technology. She later completed a PhD in urban studies focusing on universal design in housing. Jane gained her grounding in universal design as Executive Director with the Independent Living Centre NSW, and </w:t>
      </w:r>
      <w:r w:rsidR="006C7A87" w:rsidRPr="00797881">
        <w:rPr>
          <w:rFonts w:cstheme="minorHAnsi"/>
          <w:color w:val="222222"/>
          <w:lang w:eastAsia="en-AU"/>
        </w:rPr>
        <w:t xml:space="preserve">put this knowledge to use </w:t>
      </w:r>
      <w:r w:rsidRPr="00797881">
        <w:rPr>
          <w:rFonts w:cstheme="minorHAnsi"/>
          <w:color w:val="222222"/>
          <w:lang w:eastAsia="en-AU"/>
        </w:rPr>
        <w:t>more recently as Liveable Communities Project Manager with Council on the Ageing NSW</w:t>
      </w:r>
      <w:r w:rsidR="006C7A87" w:rsidRPr="00797881">
        <w:rPr>
          <w:rFonts w:cstheme="minorHAnsi"/>
          <w:color w:val="222222"/>
          <w:lang w:eastAsia="en-AU"/>
        </w:rPr>
        <w:t xml:space="preserve"> (COTA NSW)</w:t>
      </w:r>
      <w:r w:rsidRPr="00797881">
        <w:rPr>
          <w:rFonts w:cstheme="minorHAnsi"/>
          <w:color w:val="222222"/>
          <w:lang w:eastAsia="en-AU"/>
        </w:rPr>
        <w:t xml:space="preserve">.  </w:t>
      </w:r>
    </w:p>
    <w:p w:rsidR="00FD73B3" w:rsidRPr="00797881" w:rsidRDefault="00EB12A1" w:rsidP="007F0239">
      <w:pPr>
        <w:shd w:val="clear" w:color="auto" w:fill="FFFFFF"/>
        <w:spacing w:after="120" w:line="276" w:lineRule="auto"/>
        <w:rPr>
          <w:rFonts w:cstheme="minorHAnsi"/>
          <w:color w:val="222222"/>
          <w:lang w:eastAsia="en-AU"/>
        </w:rPr>
      </w:pPr>
      <w:r>
        <w:rPr>
          <w:rFonts w:cstheme="minorHAnsi"/>
          <w:color w:val="222222"/>
          <w:lang w:eastAsia="en-AU"/>
        </w:rPr>
        <w:t>Jane attended 7 out of 8</w:t>
      </w:r>
      <w:r w:rsidR="00FD73B3" w:rsidRPr="00797881">
        <w:rPr>
          <w:rFonts w:cstheme="minorHAnsi"/>
          <w:color w:val="222222"/>
          <w:lang w:eastAsia="en-AU"/>
        </w:rPr>
        <w:t xml:space="preserve"> meetings.</w:t>
      </w:r>
    </w:p>
    <w:p w:rsidR="00D15485" w:rsidRPr="00797881" w:rsidRDefault="00FD73B3" w:rsidP="007F0239">
      <w:pPr>
        <w:spacing w:after="120" w:line="276" w:lineRule="auto"/>
        <w:rPr>
          <w:rFonts w:cstheme="minorHAnsi"/>
        </w:rPr>
      </w:pPr>
      <w:r w:rsidRPr="00797881">
        <w:rPr>
          <w:rStyle w:val="xheading5char"/>
          <w:rFonts w:eastAsiaTheme="majorEastAsia" w:cstheme="minorHAnsi"/>
          <w:b/>
          <w:noProof/>
          <w:color w:val="000000"/>
          <w:lang w:eastAsia="en-AU"/>
        </w:rPr>
        <w:drawing>
          <wp:anchor distT="0" distB="0" distL="114300" distR="114300" simplePos="0" relativeHeight="251660288" behindDoc="0" locked="0" layoutInCell="1" allowOverlap="1">
            <wp:simplePos x="0" y="0"/>
            <wp:positionH relativeFrom="column">
              <wp:posOffset>-635</wp:posOffset>
            </wp:positionH>
            <wp:positionV relativeFrom="paragraph">
              <wp:posOffset>303530</wp:posOffset>
            </wp:positionV>
            <wp:extent cx="1029335" cy="1118870"/>
            <wp:effectExtent l="0" t="0" r="0" b="5080"/>
            <wp:wrapSquare wrapText="bothSides"/>
            <wp:docPr id="2" name="Picture 2" descr="C:\Users\jb\Dropbox\CUDA share files\Meetings\AGM and Annual report\Nick Lode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Dropbox\CUDA share files\Meetings\AGM and Annual report\Nick Loder 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2933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485" w:rsidRPr="00797881" w:rsidRDefault="00D15485" w:rsidP="007F0239">
      <w:pPr>
        <w:pStyle w:val="xmsonormal"/>
        <w:shd w:val="clear" w:color="auto" w:fill="FFFFFF"/>
        <w:spacing w:before="0" w:beforeAutospacing="0" w:after="120" w:afterAutospacing="0" w:line="276" w:lineRule="auto"/>
        <w:rPr>
          <w:rFonts w:asciiTheme="minorHAnsi" w:hAnsiTheme="minorHAnsi" w:cstheme="minorHAnsi"/>
          <w:color w:val="212121"/>
          <w:lang w:val="en-US"/>
        </w:rPr>
      </w:pPr>
      <w:r w:rsidRPr="00797881">
        <w:rPr>
          <w:rStyle w:val="xheading5char"/>
          <w:rFonts w:asciiTheme="minorHAnsi" w:eastAsiaTheme="majorEastAsia" w:hAnsiTheme="minorHAnsi" w:cstheme="minorHAnsi"/>
          <w:b/>
          <w:color w:val="000000"/>
        </w:rPr>
        <w:t xml:space="preserve">Nicholas </w:t>
      </w:r>
      <w:proofErr w:type="spellStart"/>
      <w:r w:rsidRPr="00797881">
        <w:rPr>
          <w:rStyle w:val="xheading5char"/>
          <w:rFonts w:asciiTheme="minorHAnsi" w:eastAsiaTheme="majorEastAsia" w:hAnsiTheme="minorHAnsi" w:cstheme="minorHAnsi"/>
          <w:b/>
          <w:color w:val="000000"/>
        </w:rPr>
        <w:t>Loder</w:t>
      </w:r>
      <w:proofErr w:type="spellEnd"/>
      <w:r w:rsidRPr="00797881">
        <w:rPr>
          <w:rStyle w:val="xheading5char"/>
          <w:rFonts w:asciiTheme="minorHAnsi" w:eastAsiaTheme="majorEastAsia" w:hAnsiTheme="minorHAnsi" w:cstheme="minorHAnsi"/>
          <w:b/>
          <w:color w:val="000000"/>
        </w:rPr>
        <w:t>:</w:t>
      </w:r>
      <w:r w:rsidRPr="00797881">
        <w:rPr>
          <w:rStyle w:val="xheading5char"/>
          <w:rFonts w:asciiTheme="minorHAnsi" w:eastAsiaTheme="majorEastAsia" w:hAnsiTheme="minorHAnsi" w:cstheme="minorHAnsi"/>
          <w:color w:val="000000"/>
        </w:rPr>
        <w:t xml:space="preserve"> </w:t>
      </w:r>
      <w:proofErr w:type="spellStart"/>
      <w:r w:rsidRPr="00797881">
        <w:rPr>
          <w:rStyle w:val="xheading5char"/>
          <w:rFonts w:asciiTheme="minorHAnsi" w:eastAsiaTheme="majorEastAsia" w:hAnsiTheme="minorHAnsi" w:cstheme="minorHAnsi"/>
          <w:color w:val="000000"/>
        </w:rPr>
        <w:t>B.Arch</w:t>
      </w:r>
      <w:proofErr w:type="spellEnd"/>
      <w:r w:rsidRPr="00797881">
        <w:rPr>
          <w:rStyle w:val="xheading5char"/>
          <w:rFonts w:asciiTheme="minorHAnsi" w:eastAsiaTheme="majorEastAsia" w:hAnsiTheme="minorHAnsi" w:cstheme="minorHAnsi"/>
          <w:color w:val="000000"/>
        </w:rPr>
        <w:t xml:space="preserve">, </w:t>
      </w:r>
      <w:proofErr w:type="spellStart"/>
      <w:r w:rsidR="00E66B08">
        <w:rPr>
          <w:rStyle w:val="xheading5char"/>
          <w:rFonts w:asciiTheme="minorHAnsi" w:eastAsiaTheme="majorEastAsia" w:hAnsiTheme="minorHAnsi" w:cstheme="minorHAnsi"/>
          <w:color w:val="000000"/>
        </w:rPr>
        <w:t>M.BuiltEnv</w:t>
      </w:r>
      <w:proofErr w:type="spellEnd"/>
      <w:r w:rsidR="00E66B08">
        <w:rPr>
          <w:rStyle w:val="xheading5char"/>
          <w:rFonts w:asciiTheme="minorHAnsi" w:eastAsiaTheme="majorEastAsia" w:hAnsiTheme="minorHAnsi" w:cstheme="minorHAnsi"/>
          <w:color w:val="000000"/>
        </w:rPr>
        <w:t>,</w:t>
      </w:r>
      <w:r w:rsidR="00E66B08" w:rsidRPr="00797881">
        <w:rPr>
          <w:rStyle w:val="xheading5char"/>
          <w:rFonts w:asciiTheme="minorHAnsi" w:eastAsiaTheme="majorEastAsia" w:hAnsiTheme="minorHAnsi" w:cstheme="minorHAnsi"/>
          <w:color w:val="000000"/>
        </w:rPr>
        <w:t xml:space="preserve"> </w:t>
      </w:r>
      <w:r w:rsidRPr="00797881">
        <w:rPr>
          <w:rStyle w:val="xheading5char"/>
          <w:rFonts w:asciiTheme="minorHAnsi" w:eastAsiaTheme="majorEastAsia" w:hAnsiTheme="minorHAnsi" w:cstheme="minorHAnsi"/>
          <w:color w:val="000000"/>
        </w:rPr>
        <w:t xml:space="preserve">Grad </w:t>
      </w:r>
      <w:r w:rsidR="00162A99">
        <w:rPr>
          <w:rStyle w:val="xheading5char"/>
          <w:rFonts w:asciiTheme="minorHAnsi" w:eastAsiaTheme="majorEastAsia" w:hAnsiTheme="minorHAnsi" w:cstheme="minorHAnsi"/>
          <w:color w:val="000000"/>
        </w:rPr>
        <w:t>Dip PSM (Deputy Chair).</w:t>
      </w:r>
      <w:r w:rsidR="005A7554">
        <w:rPr>
          <w:rStyle w:val="xheading5char"/>
          <w:rFonts w:asciiTheme="minorHAnsi" w:eastAsiaTheme="majorEastAsia" w:hAnsiTheme="minorHAnsi" w:cstheme="minorHAnsi"/>
          <w:color w:val="000000"/>
        </w:rPr>
        <w:t xml:space="preserve"> </w:t>
      </w:r>
    </w:p>
    <w:p w:rsidR="00D15485" w:rsidRPr="00797881" w:rsidRDefault="00D15485" w:rsidP="007F0239">
      <w:pPr>
        <w:pStyle w:val="xmsonormal"/>
        <w:shd w:val="clear" w:color="auto" w:fill="FFFFFF"/>
        <w:spacing w:before="0" w:beforeAutospacing="0" w:after="120" w:afterAutospacing="0" w:line="276" w:lineRule="auto"/>
        <w:rPr>
          <w:rFonts w:asciiTheme="minorHAnsi" w:hAnsiTheme="minorHAnsi" w:cstheme="minorHAnsi"/>
          <w:color w:val="212121"/>
          <w:lang w:val="en-US"/>
        </w:rPr>
      </w:pPr>
      <w:r w:rsidRPr="00797881">
        <w:rPr>
          <w:rFonts w:asciiTheme="minorHAnsi" w:hAnsiTheme="minorHAnsi" w:cstheme="minorHAnsi"/>
          <w:color w:val="212121"/>
          <w:lang w:val="en-US"/>
        </w:rPr>
        <w:t>Nicholas is Senior Project Officer, NSW Land and Housing Corporation, Family and Community Services. Since 2003 he has provided design policy advice for multi-unit medium density residential and major refurbishments projects for LAHC, especially on accessibility and universal design. Previously he worked in various architectural firms working on a range of projects. Nicholas sits on several committees including the NSW Chapter Australasian Housing Institute. He is also a volunteer tour guide for AAA and Sydney Living Museum’s Sydney Open, a member of DOCOMOMO NSW, and of the Society for Architecture and Urban Design Incorporated (SFAUDI)</w:t>
      </w:r>
      <w:r w:rsidR="00FD73B3" w:rsidRPr="00797881">
        <w:rPr>
          <w:rFonts w:asciiTheme="minorHAnsi" w:hAnsiTheme="minorHAnsi" w:cstheme="minorHAnsi"/>
          <w:color w:val="212121"/>
          <w:lang w:val="en-US"/>
        </w:rPr>
        <w:t>.</w:t>
      </w:r>
    </w:p>
    <w:p w:rsidR="00FD73B3" w:rsidRPr="00797881" w:rsidRDefault="007F0239" w:rsidP="007F0239">
      <w:pPr>
        <w:spacing w:after="120" w:line="276" w:lineRule="auto"/>
        <w:rPr>
          <w:rFonts w:cstheme="minorHAnsi"/>
        </w:rPr>
      </w:pPr>
      <w:r>
        <w:rPr>
          <w:rFonts w:cstheme="minorHAnsi"/>
        </w:rPr>
        <w:t xml:space="preserve">Nicholas attended </w:t>
      </w:r>
      <w:r w:rsidR="00EB12A1">
        <w:rPr>
          <w:rFonts w:cstheme="minorHAnsi"/>
        </w:rPr>
        <w:t xml:space="preserve">8 </w:t>
      </w:r>
      <w:r>
        <w:rPr>
          <w:rFonts w:cstheme="minorHAnsi"/>
        </w:rPr>
        <w:t xml:space="preserve">out of </w:t>
      </w:r>
      <w:r w:rsidR="00EB12A1">
        <w:rPr>
          <w:rFonts w:cstheme="minorHAnsi"/>
        </w:rPr>
        <w:t>8</w:t>
      </w:r>
      <w:r w:rsidR="00FD73B3" w:rsidRPr="00797881">
        <w:rPr>
          <w:rFonts w:cstheme="minorHAnsi"/>
        </w:rPr>
        <w:t xml:space="preserve"> meetings.</w:t>
      </w:r>
    </w:p>
    <w:p w:rsidR="006C7A87" w:rsidRPr="00797881" w:rsidRDefault="006C7A87" w:rsidP="007F0239">
      <w:pPr>
        <w:spacing w:after="120" w:line="276" w:lineRule="auto"/>
        <w:rPr>
          <w:rFonts w:cstheme="minorHAnsi"/>
          <w:b/>
        </w:rPr>
      </w:pPr>
    </w:p>
    <w:p w:rsidR="00FD73B3" w:rsidRDefault="007F0239" w:rsidP="007F0239">
      <w:pPr>
        <w:spacing w:after="120" w:line="276" w:lineRule="auto"/>
        <w:rPr>
          <w:rFonts w:cstheme="minorHAnsi"/>
        </w:rPr>
      </w:pPr>
      <w:r w:rsidRPr="007F0239">
        <w:rPr>
          <w:rFonts w:cstheme="minorHAnsi"/>
          <w:b/>
          <w:noProof/>
          <w:lang w:eastAsia="en-AU"/>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238250" cy="1238250"/>
            <wp:effectExtent l="0" t="0" r="0" b="0"/>
            <wp:wrapSquare wrapText="bothSides"/>
            <wp:docPr id="7" name="Picture 7" descr="C:\Users\jb\Pictures\Website\sally codd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Pictures\Website\sally coddingt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3B3" w:rsidRPr="00797881">
        <w:rPr>
          <w:rFonts w:cstheme="minorHAnsi"/>
          <w:b/>
        </w:rPr>
        <w:t xml:space="preserve">Sally </w:t>
      </w:r>
      <w:proofErr w:type="spellStart"/>
      <w:r w:rsidR="00FD73B3" w:rsidRPr="00797881">
        <w:rPr>
          <w:rFonts w:cstheme="minorHAnsi"/>
          <w:b/>
        </w:rPr>
        <w:t>Coddington</w:t>
      </w:r>
      <w:proofErr w:type="spellEnd"/>
      <w:r w:rsidR="00FD73B3" w:rsidRPr="00797881">
        <w:rPr>
          <w:rFonts w:cstheme="minorHAnsi"/>
        </w:rPr>
        <w:t xml:space="preserve">: </w:t>
      </w:r>
      <w:r>
        <w:rPr>
          <w:rFonts w:cstheme="minorHAnsi"/>
        </w:rPr>
        <w:t>MBA, CPM</w:t>
      </w:r>
      <w:r w:rsidR="00FD73B3" w:rsidRPr="00797881">
        <w:rPr>
          <w:rFonts w:cstheme="minorHAnsi"/>
        </w:rPr>
        <w:t xml:space="preserve">   </w:t>
      </w:r>
    </w:p>
    <w:p w:rsidR="00BB3359" w:rsidRPr="0033227A" w:rsidRDefault="00BB3359" w:rsidP="00BB3359">
      <w:pPr>
        <w:spacing w:line="264" w:lineRule="auto"/>
        <w:rPr>
          <w:rFonts w:cs="Arial"/>
          <w:sz w:val="22"/>
          <w:szCs w:val="22"/>
          <w:shd w:val="clear" w:color="auto" w:fill="FFFFFF"/>
        </w:rPr>
      </w:pPr>
      <w:r w:rsidRPr="0033227A">
        <w:rPr>
          <w:rFonts w:cs="Arial"/>
          <w:sz w:val="22"/>
          <w:szCs w:val="22"/>
          <w:shd w:val="clear" w:color="auto" w:fill="FFFFFF"/>
        </w:rPr>
        <w:t>Sally has a background in business and marketing, and through her consultancy, Curb Cut Effect advises businesses about commercial solutions to empower people with disability. She has held leadership positions in the not-for-profit sector, including the Hunter Business Chamber, Hunter Life Education, Becoming Healthy Australia, and is currently a member of the NSW Disability Council.</w:t>
      </w:r>
      <w:r>
        <w:rPr>
          <w:rFonts w:cs="Arial"/>
          <w:sz w:val="22"/>
          <w:szCs w:val="22"/>
          <w:shd w:val="clear" w:color="auto" w:fill="FFFFFF"/>
        </w:rPr>
        <w:t xml:space="preserve"> </w:t>
      </w:r>
      <w:r w:rsidRPr="0033227A">
        <w:rPr>
          <w:rFonts w:cs="Arial"/>
          <w:sz w:val="22"/>
          <w:szCs w:val="22"/>
          <w:shd w:val="clear" w:color="auto" w:fill="FFFFFF"/>
        </w:rPr>
        <w:t xml:space="preserve">She has lectured at the University </w:t>
      </w:r>
      <w:proofErr w:type="gramStart"/>
      <w:r w:rsidRPr="0033227A">
        <w:rPr>
          <w:rFonts w:cs="Arial"/>
          <w:sz w:val="22"/>
          <w:szCs w:val="22"/>
          <w:shd w:val="clear" w:color="auto" w:fill="FFFFFF"/>
        </w:rPr>
        <w:t>of</w:t>
      </w:r>
      <w:proofErr w:type="gramEnd"/>
      <w:r w:rsidRPr="0033227A">
        <w:rPr>
          <w:rFonts w:cs="Arial"/>
          <w:sz w:val="22"/>
          <w:szCs w:val="22"/>
          <w:shd w:val="clear" w:color="auto" w:fill="FFFFFF"/>
        </w:rPr>
        <w:t xml:space="preserve"> Newcastle Business School, and has worked in the finance sector in Australia and overseas.</w:t>
      </w:r>
    </w:p>
    <w:p w:rsidR="007F0239" w:rsidRPr="00797881" w:rsidRDefault="007F0239" w:rsidP="007F0239">
      <w:pPr>
        <w:spacing w:after="120" w:line="276" w:lineRule="auto"/>
        <w:rPr>
          <w:rFonts w:cstheme="minorHAnsi"/>
        </w:rPr>
      </w:pPr>
      <w:r>
        <w:rPr>
          <w:rFonts w:cstheme="minorHAnsi"/>
        </w:rPr>
        <w:t xml:space="preserve">Sally attended </w:t>
      </w:r>
      <w:r w:rsidR="00EB12A1">
        <w:rPr>
          <w:rFonts w:cstheme="minorHAnsi"/>
        </w:rPr>
        <w:t>7 out of 8</w:t>
      </w:r>
      <w:r>
        <w:rPr>
          <w:rFonts w:cstheme="minorHAnsi"/>
        </w:rPr>
        <w:t xml:space="preserve"> meetings</w:t>
      </w:r>
    </w:p>
    <w:p w:rsidR="00797881" w:rsidRDefault="00797881" w:rsidP="007F0239">
      <w:pPr>
        <w:spacing w:after="120" w:line="276" w:lineRule="auto"/>
        <w:rPr>
          <w:rFonts w:cstheme="minorHAnsi"/>
        </w:rPr>
      </w:pPr>
    </w:p>
    <w:p w:rsidR="00055379" w:rsidRDefault="00055379" w:rsidP="007F0239">
      <w:pPr>
        <w:spacing w:after="120" w:line="276" w:lineRule="auto"/>
        <w:rPr>
          <w:rFonts w:cstheme="minorHAnsi"/>
        </w:rPr>
      </w:pPr>
    </w:p>
    <w:p w:rsidR="00055379" w:rsidRPr="00797881" w:rsidRDefault="00055379" w:rsidP="007F0239">
      <w:pPr>
        <w:spacing w:after="120" w:line="276" w:lineRule="auto"/>
        <w:rPr>
          <w:rFonts w:cstheme="minorHAnsi"/>
        </w:rPr>
      </w:pPr>
    </w:p>
    <w:p w:rsidR="00FD73B3" w:rsidRPr="00797881" w:rsidRDefault="00EB12A1" w:rsidP="007F0239">
      <w:pPr>
        <w:spacing w:after="120" w:line="276" w:lineRule="auto"/>
        <w:rPr>
          <w:rFonts w:cstheme="minorHAnsi"/>
        </w:rPr>
      </w:pPr>
      <w:r w:rsidRPr="00797881">
        <w:rPr>
          <w:rFonts w:cstheme="minorHAnsi"/>
          <w:b/>
          <w:noProof/>
          <w:lang w:eastAsia="en-AU"/>
        </w:rPr>
        <w:drawing>
          <wp:anchor distT="0" distB="0" distL="114300" distR="114300" simplePos="0" relativeHeight="251663360" behindDoc="0" locked="0" layoutInCell="1" allowOverlap="1">
            <wp:simplePos x="0" y="0"/>
            <wp:positionH relativeFrom="column">
              <wp:posOffset>0</wp:posOffset>
            </wp:positionH>
            <wp:positionV relativeFrom="paragraph">
              <wp:posOffset>22225</wp:posOffset>
            </wp:positionV>
            <wp:extent cx="1238250" cy="1103630"/>
            <wp:effectExtent l="0" t="0" r="0" b="1270"/>
            <wp:wrapSquare wrapText="bothSides"/>
            <wp:docPr id="6" name="Picture 6" descr="C:\Users\jb\Dropbox\CUDA share files\Meetings\AGM and Annual report\Phillippa head and shoul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Dropbox\CUDA share files\Meetings\AGM and Annual report\Phillippa head and shoulder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D73B3" w:rsidRPr="00797881">
        <w:rPr>
          <w:rFonts w:cstheme="minorHAnsi"/>
          <w:b/>
        </w:rPr>
        <w:t>Phillippa</w:t>
      </w:r>
      <w:proofErr w:type="spellEnd"/>
      <w:r w:rsidR="00FD73B3" w:rsidRPr="00797881">
        <w:rPr>
          <w:rFonts w:cstheme="minorHAnsi"/>
          <w:b/>
        </w:rPr>
        <w:t xml:space="preserve"> </w:t>
      </w:r>
      <w:proofErr w:type="spellStart"/>
      <w:r w:rsidR="00FD73B3" w:rsidRPr="00797881">
        <w:rPr>
          <w:rFonts w:cstheme="minorHAnsi"/>
          <w:b/>
        </w:rPr>
        <w:t>Carnemolla</w:t>
      </w:r>
      <w:proofErr w:type="spellEnd"/>
      <w:r w:rsidR="00797881">
        <w:rPr>
          <w:rFonts w:cstheme="minorHAnsi"/>
        </w:rPr>
        <w:t xml:space="preserve">: </w:t>
      </w:r>
      <w:proofErr w:type="spellStart"/>
      <w:r w:rsidR="00797881">
        <w:rPr>
          <w:rFonts w:cstheme="minorHAnsi"/>
        </w:rPr>
        <w:t>BIndDes</w:t>
      </w:r>
      <w:proofErr w:type="spellEnd"/>
      <w:r w:rsidR="00797881">
        <w:rPr>
          <w:rFonts w:cstheme="minorHAnsi"/>
        </w:rPr>
        <w:t xml:space="preserve">, </w:t>
      </w:r>
      <w:proofErr w:type="spellStart"/>
      <w:r w:rsidR="00797881">
        <w:rPr>
          <w:rFonts w:cstheme="minorHAnsi"/>
        </w:rPr>
        <w:t>MDes</w:t>
      </w:r>
      <w:proofErr w:type="spellEnd"/>
      <w:r w:rsidR="00797881">
        <w:rPr>
          <w:rFonts w:cstheme="minorHAnsi"/>
        </w:rPr>
        <w:t>, PhD</w:t>
      </w:r>
    </w:p>
    <w:p w:rsidR="00FD73B3" w:rsidRDefault="00797881" w:rsidP="007F0239">
      <w:pPr>
        <w:spacing w:after="120" w:line="276" w:lineRule="auto"/>
        <w:rPr>
          <w:rFonts w:cstheme="minorHAnsi"/>
          <w:color w:val="222222"/>
          <w:shd w:val="clear" w:color="auto" w:fill="FFFFFF"/>
        </w:rPr>
      </w:pPr>
      <w:proofErr w:type="spellStart"/>
      <w:r w:rsidRPr="00797881">
        <w:rPr>
          <w:rFonts w:cstheme="minorHAnsi"/>
          <w:color w:val="222222"/>
          <w:shd w:val="clear" w:color="auto" w:fill="FFFFFF"/>
        </w:rPr>
        <w:t>Phillippa</w:t>
      </w:r>
      <w:proofErr w:type="spellEnd"/>
      <w:r w:rsidRPr="00797881">
        <w:rPr>
          <w:rFonts w:cstheme="minorHAnsi"/>
          <w:color w:val="222222"/>
          <w:shd w:val="clear" w:color="auto" w:fill="FFFFFF"/>
        </w:rPr>
        <w:t xml:space="preserve"> is a Research Fellow and Industrial Designer with extensive experience in design practice, research and education. </w:t>
      </w:r>
      <w:proofErr w:type="spellStart"/>
      <w:r w:rsidRPr="00797881">
        <w:rPr>
          <w:rFonts w:cstheme="minorHAnsi"/>
          <w:color w:val="222222"/>
          <w:shd w:val="clear" w:color="auto" w:fill="FFFFFF"/>
        </w:rPr>
        <w:t>Phillippa</w:t>
      </w:r>
      <w:proofErr w:type="spellEnd"/>
      <w:r w:rsidRPr="00797881">
        <w:rPr>
          <w:rFonts w:cstheme="minorHAnsi"/>
          <w:color w:val="222222"/>
          <w:shd w:val="clear" w:color="auto" w:fill="FFFFFF"/>
        </w:rPr>
        <w:t xml:space="preserve"> has a Bachelor of Industrial Design and Masters of Design (Research) from University of Technology, Sydney, and a PhD from UNSW, Sydney. Her PhD, completed in 2015, investigated the impact of home modifications on caregiving and health-related quality of life. </w:t>
      </w:r>
      <w:proofErr w:type="spellStart"/>
      <w:r w:rsidRPr="00797881">
        <w:rPr>
          <w:rFonts w:cstheme="minorHAnsi"/>
          <w:color w:val="222222"/>
          <w:shd w:val="clear" w:color="auto" w:fill="FFFFFF"/>
        </w:rPr>
        <w:t>Phillippa’s</w:t>
      </w:r>
      <w:proofErr w:type="spellEnd"/>
      <w:r w:rsidRPr="00797881">
        <w:rPr>
          <w:rFonts w:cstheme="minorHAnsi"/>
          <w:color w:val="222222"/>
          <w:shd w:val="clear" w:color="auto" w:fill="FFFFFF"/>
        </w:rPr>
        <w:t xml:space="preserve"> research interests are focused on human-centred and inclusive design of housing, urban infrastructure and new technologies for older people and people living with disability. </w:t>
      </w:r>
    </w:p>
    <w:p w:rsidR="00D64DA4" w:rsidRPr="00797881" w:rsidRDefault="00EB12A1" w:rsidP="007F0239">
      <w:pPr>
        <w:spacing w:after="120" w:line="276" w:lineRule="auto"/>
        <w:rPr>
          <w:rFonts w:cstheme="minorHAnsi"/>
        </w:rPr>
      </w:pPr>
      <w:proofErr w:type="spellStart"/>
      <w:r>
        <w:rPr>
          <w:rFonts w:cstheme="minorHAnsi"/>
          <w:color w:val="222222"/>
          <w:shd w:val="clear" w:color="auto" w:fill="FFFFFF"/>
        </w:rPr>
        <w:t>Phillippa</w:t>
      </w:r>
      <w:proofErr w:type="spellEnd"/>
      <w:r>
        <w:rPr>
          <w:rFonts w:cstheme="minorHAnsi"/>
          <w:color w:val="222222"/>
          <w:shd w:val="clear" w:color="auto" w:fill="FFFFFF"/>
        </w:rPr>
        <w:t xml:space="preserve"> attended 4 out of 5</w:t>
      </w:r>
      <w:r w:rsidR="00D64DA4">
        <w:rPr>
          <w:rFonts w:cstheme="minorHAnsi"/>
          <w:color w:val="222222"/>
          <w:shd w:val="clear" w:color="auto" w:fill="FFFFFF"/>
        </w:rPr>
        <w:t xml:space="preserve"> meetings</w:t>
      </w:r>
    </w:p>
    <w:p w:rsidR="00FD73B3" w:rsidRPr="00797881" w:rsidRDefault="00ED5BA6" w:rsidP="007F0239">
      <w:pPr>
        <w:spacing w:after="120" w:line="276"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2pt;width:99pt;height:99.65pt;z-index:251665408;mso-position-horizontal:absolute;mso-position-horizontal-relative:text;mso-position-vertical:absolute;mso-position-vertical-relative:text">
            <v:imagedata r:id="rId11" o:title="Lisa Stafford"/>
            <w10:wrap type="square"/>
          </v:shape>
        </w:pict>
      </w:r>
    </w:p>
    <w:p w:rsidR="00FD73B3" w:rsidRPr="00D64DA4" w:rsidRDefault="00FD73B3" w:rsidP="007F0239">
      <w:pPr>
        <w:spacing w:after="120" w:line="276" w:lineRule="auto"/>
        <w:rPr>
          <w:rFonts w:cstheme="minorHAnsi"/>
          <w:b/>
        </w:rPr>
      </w:pPr>
      <w:r w:rsidRPr="00D64DA4">
        <w:rPr>
          <w:rFonts w:cstheme="minorHAnsi"/>
          <w:b/>
        </w:rPr>
        <w:t>Lisa Stafford</w:t>
      </w:r>
      <w:r w:rsidR="001F050F">
        <w:rPr>
          <w:rFonts w:cstheme="minorHAnsi"/>
          <w:b/>
        </w:rPr>
        <w:t xml:space="preserve">: </w:t>
      </w:r>
      <w:r w:rsidR="001F050F" w:rsidRPr="001F050F">
        <w:rPr>
          <w:rFonts w:cstheme="minorHAnsi"/>
        </w:rPr>
        <w:t>PhD</w:t>
      </w:r>
    </w:p>
    <w:p w:rsidR="00FD73B3" w:rsidRDefault="001F050F" w:rsidP="007F0239">
      <w:pPr>
        <w:spacing w:after="120" w:line="276" w:lineRule="auto"/>
        <w:rPr>
          <w:rFonts w:ascii="Calibri" w:hAnsi="Calibri" w:cs="Calibri"/>
          <w:color w:val="000000"/>
          <w:shd w:val="clear" w:color="auto" w:fill="FFFFFF"/>
        </w:rPr>
      </w:pPr>
      <w:r>
        <w:rPr>
          <w:rFonts w:ascii="Calibri" w:hAnsi="Calibri" w:cs="Calibri"/>
          <w:color w:val="000000"/>
          <w:sz w:val="22"/>
          <w:szCs w:val="22"/>
          <w:shd w:val="clear" w:color="auto" w:fill="FFFFFF"/>
        </w:rPr>
        <w:t xml:space="preserve">Lisa is a social planner, social scientist, and a Lecturer at QUT in the School of Public Health and Social Work. She has 17 years of experience in the field of disability and inclusion with a specific focus on the social-spatial needs of children, young people and their families.  Part of this work included the development and management of All Abilities Playground Projects across Queensland between State </w:t>
      </w:r>
      <w:r w:rsidR="005A7554">
        <w:rPr>
          <w:rFonts w:ascii="Calibri" w:hAnsi="Calibri" w:cs="Calibri"/>
          <w:color w:val="000000"/>
          <w:sz w:val="22"/>
          <w:szCs w:val="22"/>
          <w:shd w:val="clear" w:color="auto" w:fill="FFFFFF"/>
        </w:rPr>
        <w:t xml:space="preserve">and Local Governments. Previously </w:t>
      </w:r>
      <w:r>
        <w:rPr>
          <w:rFonts w:ascii="Calibri" w:hAnsi="Calibri" w:cs="Calibri"/>
          <w:color w:val="000000"/>
          <w:sz w:val="22"/>
          <w:szCs w:val="22"/>
          <w:shd w:val="clear" w:color="auto" w:fill="FFFFFF"/>
        </w:rPr>
        <w:t>Lisa worked in practitioner, management and director roles in gover</w:t>
      </w:r>
      <w:r w:rsidR="005A7554">
        <w:rPr>
          <w:rFonts w:ascii="Calibri" w:hAnsi="Calibri" w:cs="Calibri"/>
          <w:color w:val="000000"/>
          <w:sz w:val="22"/>
          <w:szCs w:val="22"/>
          <w:shd w:val="clear" w:color="auto" w:fill="FFFFFF"/>
        </w:rPr>
        <w:t>nment and non-government organis</w:t>
      </w:r>
      <w:r>
        <w:rPr>
          <w:rFonts w:ascii="Calibri" w:hAnsi="Calibri" w:cs="Calibri"/>
          <w:color w:val="000000"/>
          <w:sz w:val="22"/>
          <w:szCs w:val="22"/>
          <w:shd w:val="clear" w:color="auto" w:fill="FFFFFF"/>
        </w:rPr>
        <w:t>ations. As a researcher, </w:t>
      </w:r>
      <w:r w:rsidR="005A7554">
        <w:rPr>
          <w:rFonts w:ascii="Calibri" w:hAnsi="Calibri" w:cs="Calibri"/>
          <w:color w:val="000000"/>
          <w:sz w:val="22"/>
          <w:szCs w:val="22"/>
          <w:shd w:val="clear" w:color="auto" w:fill="FFFFFF"/>
        </w:rPr>
        <w:t>Lisa specialis</w:t>
      </w:r>
      <w:r>
        <w:rPr>
          <w:rFonts w:ascii="Calibri" w:hAnsi="Calibri" w:cs="Calibri"/>
          <w:color w:val="000000"/>
          <w:sz w:val="22"/>
          <w:szCs w:val="22"/>
          <w:shd w:val="clear" w:color="auto" w:fill="FFFFFF"/>
        </w:rPr>
        <w:t>es in person-environment studies and applied research in Inclusive Communities and Social-Spatial Justice. Specific areas of interest: universal design neighbourhoods, mobility, inclusive play spaces, and regional area perspectives.</w:t>
      </w:r>
      <w:r>
        <w:rPr>
          <w:rFonts w:ascii="Calibri" w:hAnsi="Calibri" w:cs="Calibri"/>
          <w:color w:val="000000"/>
          <w:shd w:val="clear" w:color="auto" w:fill="FFFFFF"/>
        </w:rPr>
        <w:t> </w:t>
      </w:r>
    </w:p>
    <w:p w:rsidR="001F050F" w:rsidRPr="00797881" w:rsidRDefault="001F050F" w:rsidP="007F0239">
      <w:pPr>
        <w:spacing w:after="120" w:line="276" w:lineRule="auto"/>
        <w:rPr>
          <w:rFonts w:cstheme="minorHAnsi"/>
        </w:rPr>
      </w:pPr>
      <w:r>
        <w:rPr>
          <w:rFonts w:ascii="Calibri" w:hAnsi="Calibri" w:cs="Calibri"/>
          <w:color w:val="000000"/>
          <w:shd w:val="clear" w:color="auto" w:fill="FFFFFF"/>
        </w:rPr>
        <w:t xml:space="preserve">Lisa attended </w:t>
      </w:r>
      <w:r w:rsidR="00EB12A1">
        <w:rPr>
          <w:rFonts w:ascii="Calibri" w:hAnsi="Calibri" w:cs="Calibri"/>
          <w:color w:val="000000"/>
          <w:shd w:val="clear" w:color="auto" w:fill="FFFFFF"/>
        </w:rPr>
        <w:t>4 out of 5</w:t>
      </w:r>
      <w:r>
        <w:rPr>
          <w:rFonts w:ascii="Calibri" w:hAnsi="Calibri" w:cs="Calibri"/>
          <w:color w:val="000000"/>
          <w:shd w:val="clear" w:color="auto" w:fill="FFFFFF"/>
        </w:rPr>
        <w:t xml:space="preserve"> meetings</w:t>
      </w:r>
    </w:p>
    <w:p w:rsidR="00FD73B3" w:rsidRPr="00797881" w:rsidRDefault="00FD73B3" w:rsidP="007F0239">
      <w:pPr>
        <w:spacing w:after="120" w:line="276" w:lineRule="auto"/>
        <w:rPr>
          <w:rFonts w:cstheme="minorHAnsi"/>
        </w:rPr>
      </w:pPr>
    </w:p>
    <w:p w:rsidR="00FD73B3" w:rsidRPr="00797881" w:rsidRDefault="005B0C86" w:rsidP="007F0239">
      <w:pPr>
        <w:spacing w:after="120" w:line="276" w:lineRule="auto"/>
        <w:rPr>
          <w:rFonts w:cstheme="minorHAnsi"/>
        </w:rPr>
      </w:pPr>
      <w:r w:rsidRPr="00797881">
        <w:rPr>
          <w:rFonts w:cstheme="minorHAnsi"/>
          <w:b/>
          <w:noProof/>
          <w:lang w:eastAsia="en-AU"/>
        </w:rPr>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1250843" cy="1228725"/>
            <wp:effectExtent l="0" t="0" r="6985" b="0"/>
            <wp:wrapSquare wrapText="bothSides"/>
            <wp:docPr id="4" name="Picture 4" descr="C:\Users\jb\Dropbox\CUDA share files\Meetings\AGM and Annual report\Philip Tay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Dropbox\CUDA share files\Meetings\AGM and Annual report\Philip Tay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843"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881">
        <w:rPr>
          <w:rFonts w:cstheme="minorHAnsi"/>
          <w:b/>
        </w:rPr>
        <w:t xml:space="preserve">Phillip Taylor: </w:t>
      </w:r>
      <w:r w:rsidRPr="00797881">
        <w:rPr>
          <w:rFonts w:cstheme="minorHAnsi"/>
        </w:rPr>
        <w:t>BSc (Hons), MSc, PhD</w:t>
      </w:r>
    </w:p>
    <w:p w:rsidR="005B0C86" w:rsidRPr="00797881" w:rsidRDefault="005B0C86" w:rsidP="007F0239">
      <w:pPr>
        <w:spacing w:after="120" w:line="276" w:lineRule="auto"/>
        <w:rPr>
          <w:rFonts w:cstheme="minorHAnsi"/>
        </w:rPr>
      </w:pPr>
      <w:r w:rsidRPr="00797881">
        <w:rPr>
          <w:rFonts w:cstheme="minorHAnsi"/>
          <w:color w:val="222222"/>
          <w:shd w:val="clear" w:color="auto" w:fill="FFFFFF"/>
        </w:rPr>
        <w:t xml:space="preserve">Philip has almost 30 years of experience as an expert researcher, policy writer and governmental and NGO advisor on workforce ageing. His interests include individual orientations to work and retirement, employer behaviour towards older workers and international developments in public policy aimed at extending working life. He holds professorial positions with the University of Melbourne and Federation University Australia and is a research fellow in think tank Per </w:t>
      </w:r>
      <w:proofErr w:type="spellStart"/>
      <w:r w:rsidRPr="00797881">
        <w:rPr>
          <w:rFonts w:cstheme="minorHAnsi"/>
          <w:color w:val="222222"/>
          <w:shd w:val="clear" w:color="auto" w:fill="FFFFFF"/>
        </w:rPr>
        <w:t>Capita's</w:t>
      </w:r>
      <w:proofErr w:type="spellEnd"/>
      <w:r w:rsidRPr="00797881">
        <w:rPr>
          <w:rFonts w:cstheme="minorHAnsi"/>
          <w:color w:val="222222"/>
          <w:shd w:val="clear" w:color="auto" w:fill="FFFFFF"/>
        </w:rPr>
        <w:t xml:space="preserve"> Centre for Applied Policy for Positive Ageing (CAPPA).</w:t>
      </w:r>
    </w:p>
    <w:p w:rsidR="00FD73B3" w:rsidRDefault="00EB12A1" w:rsidP="007F0239">
      <w:pPr>
        <w:spacing w:after="120" w:line="276" w:lineRule="auto"/>
        <w:rPr>
          <w:rFonts w:cstheme="minorHAnsi"/>
        </w:rPr>
      </w:pPr>
      <w:r>
        <w:rPr>
          <w:rFonts w:cstheme="minorHAnsi"/>
        </w:rPr>
        <w:t>Philip attended 5 out of 5</w:t>
      </w:r>
      <w:r w:rsidR="006C7A87" w:rsidRPr="00797881">
        <w:rPr>
          <w:rFonts w:cstheme="minorHAnsi"/>
        </w:rPr>
        <w:t xml:space="preserve"> meetings</w:t>
      </w:r>
    </w:p>
    <w:p w:rsidR="007F0239" w:rsidRPr="00797881" w:rsidRDefault="00EB12A1" w:rsidP="007F0239">
      <w:pPr>
        <w:spacing w:after="120" w:line="276" w:lineRule="auto"/>
        <w:rPr>
          <w:rFonts w:cstheme="minorHAnsi"/>
        </w:rPr>
      </w:pPr>
      <w:r w:rsidRPr="007F0239">
        <w:rPr>
          <w:rFonts w:cstheme="minorHAnsi"/>
          <w:b/>
          <w:noProof/>
          <w:lang w:eastAsia="en-AU"/>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289560</wp:posOffset>
            </wp:positionV>
            <wp:extent cx="1190625" cy="1216660"/>
            <wp:effectExtent l="0" t="0" r="9525" b="2540"/>
            <wp:wrapSquare wrapText="bothSides"/>
            <wp:docPr id="5" name="Picture 5" descr="C:\Users\jb\Dropbox\CUDA share files\Meetings\AGM and Annual report\Queenie Profile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Dropbox\CUDA share files\Meetings\AGM and Annual report\Queenie Profile cro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216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73B3" w:rsidRPr="007F0239" w:rsidRDefault="00FD73B3" w:rsidP="007F0239">
      <w:pPr>
        <w:spacing w:after="120" w:line="276" w:lineRule="auto"/>
        <w:rPr>
          <w:rFonts w:cstheme="minorHAnsi"/>
        </w:rPr>
      </w:pPr>
      <w:r w:rsidRPr="007F0239">
        <w:rPr>
          <w:rFonts w:cstheme="minorHAnsi"/>
          <w:b/>
        </w:rPr>
        <w:t>Queenie Tran</w:t>
      </w:r>
      <w:r w:rsidR="007F0239">
        <w:rPr>
          <w:rFonts w:cstheme="minorHAnsi"/>
          <w:b/>
        </w:rPr>
        <w:t xml:space="preserve">: </w:t>
      </w:r>
      <w:r w:rsidR="007F0239">
        <w:rPr>
          <w:rFonts w:cstheme="minorHAnsi"/>
        </w:rPr>
        <w:t xml:space="preserve">BArch, </w:t>
      </w:r>
      <w:proofErr w:type="spellStart"/>
      <w:r w:rsidR="007F0239">
        <w:rPr>
          <w:rFonts w:cstheme="minorHAnsi"/>
        </w:rPr>
        <w:t>MArch</w:t>
      </w:r>
      <w:proofErr w:type="spellEnd"/>
    </w:p>
    <w:p w:rsidR="00F45DC5" w:rsidRPr="00F45DC5" w:rsidRDefault="00F45DC5" w:rsidP="007F0239">
      <w:pPr>
        <w:shd w:val="clear" w:color="auto" w:fill="FFFFFF"/>
        <w:spacing w:after="120" w:line="276" w:lineRule="auto"/>
        <w:rPr>
          <w:rFonts w:eastAsia="Times New Roman" w:cstheme="minorHAnsi"/>
          <w:color w:val="222222"/>
          <w:lang w:eastAsia="en-AU"/>
        </w:rPr>
      </w:pPr>
      <w:r w:rsidRPr="00F45DC5">
        <w:rPr>
          <w:rFonts w:eastAsia="Times New Roman" w:cstheme="minorHAnsi"/>
          <w:color w:val="222222"/>
          <w:lang w:eastAsia="en-AU"/>
        </w:rPr>
        <w:t>Queenie has developed extensive experience in architecture and access consulting.  She has provided expert guidance in accessibility with relation to residential, health, commercial and industrial projects.</w:t>
      </w:r>
      <w:r w:rsidR="007F0239">
        <w:rPr>
          <w:rFonts w:eastAsia="Times New Roman" w:cstheme="minorHAnsi"/>
          <w:color w:val="222222"/>
          <w:lang w:eastAsia="en-AU"/>
        </w:rPr>
        <w:t xml:space="preserve"> </w:t>
      </w:r>
      <w:r w:rsidRPr="00F45DC5">
        <w:rPr>
          <w:rFonts w:eastAsia="Times New Roman" w:cstheme="minorHAnsi"/>
          <w:color w:val="222222"/>
          <w:lang w:eastAsia="en-AU"/>
        </w:rPr>
        <w:t>In 2010, Queenie established ‘Wall to Wall Design + Consulting’ as an architectural design and consultancy practice with a commitment in developing functional and aesthetic solutions, inclusive of all people and their needs.  More recently, Queenie has been working with the NFP sector to increase the supply and quality of housing for people with disability, including Summer Housing as the Housing Projects Manager.</w:t>
      </w:r>
    </w:p>
    <w:p w:rsidR="00FD73B3" w:rsidRPr="00797881" w:rsidRDefault="007F0239" w:rsidP="007F0239">
      <w:pPr>
        <w:spacing w:after="120" w:line="276" w:lineRule="auto"/>
        <w:rPr>
          <w:rFonts w:cstheme="minorHAnsi"/>
        </w:rPr>
      </w:pPr>
      <w:r>
        <w:rPr>
          <w:rFonts w:cstheme="minorHAnsi"/>
        </w:rPr>
        <w:t>Queeni</w:t>
      </w:r>
      <w:r w:rsidR="00EB12A1">
        <w:rPr>
          <w:rFonts w:cstheme="minorHAnsi"/>
        </w:rPr>
        <w:t>e attended 4 out of 5</w:t>
      </w:r>
      <w:r>
        <w:rPr>
          <w:rFonts w:cstheme="minorHAnsi"/>
        </w:rPr>
        <w:t xml:space="preserve"> meetings</w:t>
      </w:r>
    </w:p>
    <w:p w:rsidR="00FD73B3" w:rsidRPr="00797881" w:rsidRDefault="00FD73B3" w:rsidP="007F0239">
      <w:pPr>
        <w:spacing w:after="120" w:line="276" w:lineRule="auto"/>
        <w:rPr>
          <w:rFonts w:cstheme="minorHAnsi"/>
        </w:rPr>
      </w:pPr>
    </w:p>
    <w:p w:rsidR="00BB3359" w:rsidRPr="00BB3359" w:rsidRDefault="00BB3359" w:rsidP="00BB3359">
      <w:pPr>
        <w:spacing w:after="120" w:line="276" w:lineRule="auto"/>
        <w:rPr>
          <w:rFonts w:cstheme="minorHAnsi"/>
        </w:rPr>
      </w:pPr>
      <w:r w:rsidRPr="00BB3359">
        <w:rPr>
          <w:rFonts w:cstheme="minorHAnsi"/>
          <w:b/>
          <w:noProof/>
          <w:lang w:eastAsia="en-AU"/>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261326" cy="1181100"/>
            <wp:effectExtent l="0" t="0" r="0" b="0"/>
            <wp:wrapSquare wrapText="bothSides"/>
            <wp:docPr id="8" name="Picture 8" descr="C:\Users\jb\Dropbox\Conferences\2016\UD Conference 2016\joe manton pic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Dropbox\Conferences\2016\UD Conference 2016\joe manton pic cro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1326"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359">
        <w:rPr>
          <w:rFonts w:cstheme="minorHAnsi"/>
          <w:b/>
        </w:rPr>
        <w:t>Joe Manton</w:t>
      </w:r>
      <w:r>
        <w:rPr>
          <w:rFonts w:cstheme="minorHAnsi"/>
          <w:b/>
        </w:rPr>
        <w:t xml:space="preserve">: </w:t>
      </w:r>
      <w:r>
        <w:rPr>
          <w:rFonts w:cstheme="minorHAnsi"/>
        </w:rPr>
        <w:t>Cert IV, TAA.</w:t>
      </w:r>
    </w:p>
    <w:p w:rsidR="00BB3359" w:rsidRDefault="00EB12A1" w:rsidP="00EB12A1">
      <w:pPr>
        <w:spacing w:before="100" w:beforeAutospacing="1" w:after="120" w:line="264" w:lineRule="auto"/>
        <w:rPr>
          <w:rFonts w:eastAsia="Times New Roman" w:cs="Times New Roman"/>
          <w:lang w:eastAsia="en-AU"/>
        </w:rPr>
      </w:pPr>
      <w:r w:rsidRPr="00AB5954">
        <w:rPr>
          <w:rFonts w:eastAsia="Times New Roman" w:cs="Times New Roman"/>
          <w:lang w:eastAsia="en-AU"/>
        </w:rPr>
        <w:t xml:space="preserve">Ms Joe Manton is </w:t>
      </w:r>
      <w:r w:rsidR="00BB3359">
        <w:rPr>
          <w:rFonts w:eastAsia="Times New Roman" w:cs="Times New Roman"/>
          <w:lang w:eastAsia="en-AU"/>
        </w:rPr>
        <w:t xml:space="preserve">an accredited access consultant and is managing director of Institute of Access Training Australia. Previously she was Director of Health and Community Services at the City of Heidelberg in Victoria where she was responsible for services to children, youth and aged and disability services. </w:t>
      </w:r>
    </w:p>
    <w:p w:rsidR="00EB12A1" w:rsidRDefault="00BB3359" w:rsidP="007F0239">
      <w:pPr>
        <w:spacing w:after="120" w:line="276" w:lineRule="auto"/>
        <w:rPr>
          <w:rFonts w:cstheme="minorHAnsi"/>
        </w:rPr>
      </w:pPr>
      <w:r>
        <w:rPr>
          <w:rFonts w:cstheme="minorHAnsi"/>
        </w:rPr>
        <w:t xml:space="preserve">Joe attended </w:t>
      </w:r>
      <w:r w:rsidR="00EB12A1">
        <w:rPr>
          <w:rFonts w:cstheme="minorHAnsi"/>
        </w:rPr>
        <w:t>3 out of 5 meetings</w:t>
      </w:r>
      <w:r>
        <w:rPr>
          <w:rFonts w:cstheme="minorHAnsi"/>
        </w:rPr>
        <w:t xml:space="preserve"> and resigned as a director at the end of June 2016.</w:t>
      </w:r>
    </w:p>
    <w:p w:rsidR="00E66B08" w:rsidRDefault="00E66B08">
      <w:pPr>
        <w:rPr>
          <w:rFonts w:cstheme="minorHAnsi"/>
          <w:sz w:val="20"/>
          <w:szCs w:val="20"/>
        </w:rPr>
      </w:pPr>
      <w:r>
        <w:rPr>
          <w:rFonts w:cstheme="minorHAnsi"/>
          <w:sz w:val="20"/>
          <w:szCs w:val="20"/>
        </w:rPr>
        <w:br w:type="page"/>
      </w:r>
    </w:p>
    <w:p w:rsidR="00D7519B" w:rsidRPr="00AA6DEA" w:rsidRDefault="00D7519B" w:rsidP="007F0239">
      <w:pPr>
        <w:spacing w:after="120" w:line="276" w:lineRule="auto"/>
        <w:rPr>
          <w:rFonts w:cstheme="minorHAnsi"/>
          <w:sz w:val="20"/>
          <w:szCs w:val="20"/>
        </w:rPr>
      </w:pPr>
    </w:p>
    <w:p w:rsidR="00D7519B" w:rsidRPr="000274E7" w:rsidRDefault="00D7519B" w:rsidP="00AA6DEA">
      <w:pPr>
        <w:spacing w:after="120" w:line="276" w:lineRule="auto"/>
        <w:jc w:val="center"/>
        <w:rPr>
          <w:rFonts w:cstheme="minorHAnsi"/>
          <w:b/>
          <w:color w:val="2E74B5" w:themeColor="accent1" w:themeShade="BF"/>
          <w:sz w:val="28"/>
          <w:szCs w:val="28"/>
        </w:rPr>
      </w:pPr>
      <w:r w:rsidRPr="000274E7">
        <w:rPr>
          <w:rFonts w:cstheme="minorHAnsi"/>
          <w:b/>
          <w:color w:val="2E74B5" w:themeColor="accent1" w:themeShade="BF"/>
          <w:sz w:val="28"/>
          <w:szCs w:val="28"/>
        </w:rPr>
        <w:t>Financial Statement for 2016-2017</w:t>
      </w:r>
    </w:p>
    <w:p w:rsidR="00D7519B" w:rsidRPr="00AA6DEA" w:rsidRDefault="00D7519B" w:rsidP="00D7519B">
      <w:pPr>
        <w:spacing w:after="120" w:line="276" w:lineRule="auto"/>
        <w:rPr>
          <w:rFonts w:cstheme="minorHAnsi"/>
          <w:b/>
          <w:sz w:val="20"/>
          <w:szCs w:val="20"/>
        </w:rPr>
      </w:pPr>
    </w:p>
    <w:tbl>
      <w:tblPr>
        <w:tblW w:w="8827" w:type="dxa"/>
        <w:tblInd w:w="108" w:type="dxa"/>
        <w:tblLook w:val="04A0" w:firstRow="1" w:lastRow="0" w:firstColumn="1" w:lastColumn="0" w:noHBand="0" w:noVBand="1"/>
      </w:tblPr>
      <w:tblGrid>
        <w:gridCol w:w="2786"/>
        <w:gridCol w:w="1411"/>
        <w:gridCol w:w="271"/>
        <w:gridCol w:w="2948"/>
        <w:gridCol w:w="1411"/>
      </w:tblGrid>
      <w:tr w:rsidR="00D7519B" w:rsidRPr="00797881" w:rsidTr="00AA6DEA">
        <w:trPr>
          <w:trHeight w:val="522"/>
        </w:trPr>
        <w:tc>
          <w:tcPr>
            <w:tcW w:w="8827" w:type="dxa"/>
            <w:gridSpan w:val="5"/>
            <w:tcBorders>
              <w:top w:val="nil"/>
              <w:left w:val="nil"/>
              <w:bottom w:val="single" w:sz="4" w:space="0" w:color="auto"/>
              <w:right w:val="nil"/>
            </w:tcBorders>
            <w:shd w:val="clear" w:color="auto" w:fill="auto"/>
            <w:noWrap/>
            <w:vAlign w:val="center"/>
            <w:hideMark/>
          </w:tcPr>
          <w:p w:rsidR="00D7519B" w:rsidRPr="00797881" w:rsidRDefault="00D7519B" w:rsidP="0053648E">
            <w:pPr>
              <w:spacing w:after="120" w:line="276" w:lineRule="auto"/>
              <w:jc w:val="center"/>
              <w:rPr>
                <w:rFonts w:eastAsia="Times New Roman" w:cstheme="minorHAnsi"/>
                <w:b/>
                <w:bCs/>
                <w:color w:val="000000"/>
                <w:lang w:eastAsia="en-AU"/>
              </w:rPr>
            </w:pPr>
            <w:r w:rsidRPr="00797881">
              <w:rPr>
                <w:rFonts w:eastAsia="Times New Roman" w:cstheme="minorHAnsi"/>
                <w:b/>
                <w:bCs/>
                <w:color w:val="000000"/>
                <w:lang w:eastAsia="en-AU"/>
              </w:rPr>
              <w:t>Income and Expenditure Statement for Year 2016-2017</w:t>
            </w:r>
          </w:p>
        </w:tc>
      </w:tr>
      <w:tr w:rsidR="00D7519B" w:rsidRPr="00797881" w:rsidTr="00AA6DEA">
        <w:trPr>
          <w:trHeight w:val="255"/>
        </w:trPr>
        <w:tc>
          <w:tcPr>
            <w:tcW w:w="2786" w:type="dxa"/>
            <w:tcBorders>
              <w:top w:val="nil"/>
              <w:left w:val="nil"/>
              <w:bottom w:val="single" w:sz="4" w:space="0" w:color="auto"/>
              <w:right w:val="nil"/>
            </w:tcBorders>
            <w:shd w:val="clear" w:color="auto" w:fill="auto"/>
            <w:noWrap/>
            <w:vAlign w:val="center"/>
            <w:hideMark/>
          </w:tcPr>
          <w:p w:rsidR="00D7519B" w:rsidRPr="00797881" w:rsidRDefault="00D7519B" w:rsidP="0053648E">
            <w:pPr>
              <w:spacing w:after="120" w:line="276" w:lineRule="auto"/>
              <w:jc w:val="center"/>
              <w:rPr>
                <w:rFonts w:eastAsia="Times New Roman" w:cstheme="minorHAnsi"/>
                <w:b/>
                <w:bCs/>
                <w:color w:val="000000"/>
                <w:lang w:eastAsia="en-AU"/>
              </w:rPr>
            </w:pPr>
            <w:r w:rsidRPr="00797881">
              <w:rPr>
                <w:rFonts w:eastAsia="Times New Roman" w:cstheme="minorHAnsi"/>
                <w:b/>
                <w:bCs/>
                <w:color w:val="000000"/>
                <w:lang w:eastAsia="en-AU"/>
              </w:rPr>
              <w:t>Income</w:t>
            </w:r>
          </w:p>
        </w:tc>
        <w:tc>
          <w:tcPr>
            <w:tcW w:w="1411" w:type="dxa"/>
            <w:tcBorders>
              <w:top w:val="nil"/>
              <w:left w:val="nil"/>
              <w:bottom w:val="single" w:sz="4" w:space="0" w:color="auto"/>
              <w:right w:val="nil"/>
            </w:tcBorders>
            <w:shd w:val="clear" w:color="auto" w:fill="auto"/>
            <w:noWrap/>
            <w:vAlign w:val="center"/>
            <w:hideMark/>
          </w:tcPr>
          <w:p w:rsidR="00D7519B" w:rsidRPr="00797881" w:rsidRDefault="00D7519B" w:rsidP="0053648E">
            <w:pPr>
              <w:spacing w:after="120" w:line="276" w:lineRule="auto"/>
              <w:jc w:val="center"/>
              <w:rPr>
                <w:rFonts w:eastAsia="Times New Roman" w:cstheme="minorHAnsi"/>
                <w:b/>
                <w:bCs/>
                <w:color w:val="000000"/>
                <w:lang w:eastAsia="en-AU"/>
              </w:rPr>
            </w:pPr>
            <w:r w:rsidRPr="00797881">
              <w:rPr>
                <w:rFonts w:eastAsia="Times New Roman" w:cstheme="minorHAnsi"/>
                <w:b/>
                <w:bCs/>
                <w:color w:val="000000"/>
                <w:lang w:eastAsia="en-AU"/>
              </w:rPr>
              <w:t xml:space="preserve"> $ </w:t>
            </w:r>
          </w:p>
        </w:tc>
        <w:tc>
          <w:tcPr>
            <w:tcW w:w="271" w:type="dxa"/>
            <w:tcBorders>
              <w:top w:val="nil"/>
              <w:left w:val="nil"/>
              <w:bottom w:val="single" w:sz="4" w:space="0" w:color="auto"/>
              <w:right w:val="nil"/>
            </w:tcBorders>
            <w:shd w:val="clear" w:color="auto" w:fill="auto"/>
            <w:noWrap/>
            <w:vAlign w:val="center"/>
            <w:hideMark/>
          </w:tcPr>
          <w:p w:rsidR="00D7519B" w:rsidRPr="00797881" w:rsidRDefault="00D7519B" w:rsidP="0053648E">
            <w:pPr>
              <w:spacing w:after="120" w:line="276" w:lineRule="auto"/>
              <w:jc w:val="center"/>
              <w:rPr>
                <w:rFonts w:eastAsia="Times New Roman" w:cstheme="minorHAnsi"/>
                <w:b/>
                <w:bCs/>
                <w:color w:val="000000"/>
                <w:lang w:eastAsia="en-AU"/>
              </w:rPr>
            </w:pPr>
            <w:r w:rsidRPr="00797881">
              <w:rPr>
                <w:rFonts w:eastAsia="Times New Roman" w:cstheme="minorHAnsi"/>
                <w:b/>
                <w:bCs/>
                <w:color w:val="000000"/>
                <w:lang w:eastAsia="en-AU"/>
              </w:rPr>
              <w:t> </w:t>
            </w:r>
          </w:p>
        </w:tc>
        <w:tc>
          <w:tcPr>
            <w:tcW w:w="2948" w:type="dxa"/>
            <w:tcBorders>
              <w:top w:val="nil"/>
              <w:left w:val="nil"/>
              <w:bottom w:val="single" w:sz="4" w:space="0" w:color="auto"/>
              <w:right w:val="nil"/>
            </w:tcBorders>
            <w:shd w:val="clear" w:color="auto" w:fill="auto"/>
            <w:noWrap/>
            <w:vAlign w:val="center"/>
            <w:hideMark/>
          </w:tcPr>
          <w:p w:rsidR="00D7519B" w:rsidRPr="00797881" w:rsidRDefault="00D7519B" w:rsidP="0053648E">
            <w:pPr>
              <w:spacing w:after="120" w:line="276" w:lineRule="auto"/>
              <w:jc w:val="center"/>
              <w:rPr>
                <w:rFonts w:eastAsia="Times New Roman" w:cstheme="minorHAnsi"/>
                <w:b/>
                <w:bCs/>
                <w:color w:val="000000"/>
                <w:lang w:eastAsia="en-AU"/>
              </w:rPr>
            </w:pPr>
            <w:r w:rsidRPr="00797881">
              <w:rPr>
                <w:rFonts w:eastAsia="Times New Roman" w:cstheme="minorHAnsi"/>
                <w:b/>
                <w:bCs/>
                <w:color w:val="000000"/>
                <w:lang w:eastAsia="en-AU"/>
              </w:rPr>
              <w:t xml:space="preserve"> Expenditure </w:t>
            </w:r>
          </w:p>
        </w:tc>
        <w:tc>
          <w:tcPr>
            <w:tcW w:w="1411" w:type="dxa"/>
            <w:tcBorders>
              <w:top w:val="nil"/>
              <w:left w:val="nil"/>
              <w:bottom w:val="single" w:sz="4" w:space="0" w:color="auto"/>
              <w:right w:val="nil"/>
            </w:tcBorders>
            <w:shd w:val="clear" w:color="auto" w:fill="auto"/>
            <w:noWrap/>
            <w:vAlign w:val="center"/>
            <w:hideMark/>
          </w:tcPr>
          <w:p w:rsidR="00D7519B" w:rsidRPr="00797881" w:rsidRDefault="00D7519B" w:rsidP="0053648E">
            <w:pPr>
              <w:spacing w:after="120" w:line="276" w:lineRule="auto"/>
              <w:jc w:val="center"/>
              <w:rPr>
                <w:rFonts w:eastAsia="Times New Roman" w:cstheme="minorHAnsi"/>
                <w:b/>
                <w:bCs/>
                <w:color w:val="000000"/>
                <w:lang w:eastAsia="en-AU"/>
              </w:rPr>
            </w:pPr>
            <w:r w:rsidRPr="00797881">
              <w:rPr>
                <w:rFonts w:eastAsia="Times New Roman" w:cstheme="minorHAnsi"/>
                <w:b/>
                <w:bCs/>
                <w:color w:val="000000"/>
                <w:lang w:eastAsia="en-AU"/>
              </w:rPr>
              <w:t xml:space="preserve"> $ </w:t>
            </w:r>
          </w:p>
        </w:tc>
      </w:tr>
      <w:tr w:rsidR="00D7519B" w:rsidRPr="00797881" w:rsidTr="00AA6DEA">
        <w:trPr>
          <w:trHeight w:val="255"/>
        </w:trPr>
        <w:tc>
          <w:tcPr>
            <w:tcW w:w="2786"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Balance b/</w:t>
            </w:r>
            <w:proofErr w:type="spellStart"/>
            <w:r w:rsidRPr="00797881">
              <w:rPr>
                <w:rFonts w:eastAsia="Times New Roman" w:cstheme="minorHAnsi"/>
                <w:color w:val="000000"/>
                <w:lang w:eastAsia="en-AU"/>
              </w:rPr>
              <w:t>fwd</w:t>
            </w:r>
            <w:proofErr w:type="spellEnd"/>
            <w:r w:rsidRPr="00797881">
              <w:rPr>
                <w:rFonts w:eastAsia="Times New Roman" w:cstheme="minorHAnsi"/>
                <w:color w:val="000000"/>
                <w:lang w:eastAsia="en-AU"/>
              </w:rPr>
              <w:t xml:space="preserve"> 30/6/16</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402.98 </w:t>
            </w:r>
          </w:p>
        </w:tc>
        <w:tc>
          <w:tcPr>
            <w:tcW w:w="27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p>
        </w:tc>
        <w:tc>
          <w:tcPr>
            <w:tcW w:w="2948"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lang w:eastAsia="en-AU"/>
              </w:rPr>
            </w:pP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lang w:eastAsia="en-AU"/>
              </w:rPr>
            </w:pPr>
          </w:p>
        </w:tc>
      </w:tr>
      <w:tr w:rsidR="00D7519B" w:rsidRPr="00797881" w:rsidTr="00AA6DEA">
        <w:trPr>
          <w:trHeight w:val="255"/>
        </w:trPr>
        <w:tc>
          <w:tcPr>
            <w:tcW w:w="2786"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Membership fees</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1,450.30 </w:t>
            </w:r>
          </w:p>
        </w:tc>
        <w:tc>
          <w:tcPr>
            <w:tcW w:w="27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p>
        </w:tc>
        <w:tc>
          <w:tcPr>
            <w:tcW w:w="2948"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Meeting expenses </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130.60 </w:t>
            </w:r>
          </w:p>
        </w:tc>
      </w:tr>
      <w:tr w:rsidR="00D7519B" w:rsidRPr="00797881" w:rsidTr="00AA6DEA">
        <w:trPr>
          <w:trHeight w:val="255"/>
        </w:trPr>
        <w:tc>
          <w:tcPr>
            <w:tcW w:w="2786"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Donations</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650.00 </w:t>
            </w:r>
          </w:p>
        </w:tc>
        <w:tc>
          <w:tcPr>
            <w:tcW w:w="27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p>
        </w:tc>
        <w:tc>
          <w:tcPr>
            <w:tcW w:w="2948"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Insurances </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1,098.28 </w:t>
            </w:r>
          </w:p>
        </w:tc>
      </w:tr>
      <w:tr w:rsidR="00D7519B" w:rsidRPr="00797881" w:rsidTr="00AA6DEA">
        <w:trPr>
          <w:trHeight w:val="255"/>
        </w:trPr>
        <w:tc>
          <w:tcPr>
            <w:tcW w:w="2786"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Workshop fees</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800.00 </w:t>
            </w:r>
          </w:p>
        </w:tc>
        <w:tc>
          <w:tcPr>
            <w:tcW w:w="27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p>
        </w:tc>
        <w:tc>
          <w:tcPr>
            <w:tcW w:w="2948"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ASIC fees </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1,176.00 </w:t>
            </w:r>
          </w:p>
        </w:tc>
      </w:tr>
      <w:tr w:rsidR="00D7519B" w:rsidRPr="00797881" w:rsidTr="00AA6DEA">
        <w:trPr>
          <w:trHeight w:val="255"/>
        </w:trPr>
        <w:tc>
          <w:tcPr>
            <w:tcW w:w="2786"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Bank Interest</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5.79 </w:t>
            </w:r>
          </w:p>
        </w:tc>
        <w:tc>
          <w:tcPr>
            <w:tcW w:w="27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p>
        </w:tc>
        <w:tc>
          <w:tcPr>
            <w:tcW w:w="2948"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lang w:eastAsia="en-AU"/>
              </w:rPr>
            </w:pP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lang w:eastAsia="en-AU"/>
              </w:rPr>
            </w:pPr>
          </w:p>
        </w:tc>
      </w:tr>
      <w:tr w:rsidR="00D7519B" w:rsidRPr="00797881" w:rsidTr="00AA6DEA">
        <w:trPr>
          <w:trHeight w:val="255"/>
        </w:trPr>
        <w:tc>
          <w:tcPr>
            <w:tcW w:w="2786" w:type="dxa"/>
            <w:tcBorders>
              <w:top w:val="single" w:sz="4" w:space="0" w:color="auto"/>
              <w:left w:val="nil"/>
              <w:bottom w:val="single" w:sz="4" w:space="0" w:color="auto"/>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b/>
                <w:bCs/>
                <w:color w:val="000000"/>
                <w:lang w:eastAsia="en-AU"/>
              </w:rPr>
            </w:pPr>
            <w:r w:rsidRPr="00797881">
              <w:rPr>
                <w:rFonts w:eastAsia="Times New Roman" w:cstheme="minorHAnsi"/>
                <w:b/>
                <w:bCs/>
                <w:color w:val="000000"/>
                <w:lang w:eastAsia="en-AU"/>
              </w:rPr>
              <w:t>TOTAL</w:t>
            </w:r>
          </w:p>
        </w:tc>
        <w:tc>
          <w:tcPr>
            <w:tcW w:w="1411" w:type="dxa"/>
            <w:tcBorders>
              <w:top w:val="single" w:sz="4" w:space="0" w:color="auto"/>
              <w:left w:val="nil"/>
              <w:bottom w:val="single" w:sz="4" w:space="0" w:color="auto"/>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b/>
                <w:bCs/>
                <w:color w:val="000000"/>
                <w:lang w:eastAsia="en-AU"/>
              </w:rPr>
            </w:pPr>
            <w:r w:rsidRPr="00797881">
              <w:rPr>
                <w:rFonts w:eastAsia="Times New Roman" w:cstheme="minorHAnsi"/>
                <w:b/>
                <w:bCs/>
                <w:color w:val="000000"/>
                <w:lang w:eastAsia="en-AU"/>
              </w:rPr>
              <w:t xml:space="preserve">     3,309.07 </w:t>
            </w:r>
          </w:p>
        </w:tc>
        <w:tc>
          <w:tcPr>
            <w:tcW w:w="271" w:type="dxa"/>
            <w:tcBorders>
              <w:top w:val="single" w:sz="4" w:space="0" w:color="auto"/>
              <w:left w:val="nil"/>
              <w:bottom w:val="single" w:sz="4" w:space="0" w:color="auto"/>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b/>
                <w:bCs/>
                <w:color w:val="000000"/>
                <w:lang w:eastAsia="en-AU"/>
              </w:rPr>
            </w:pPr>
            <w:r w:rsidRPr="00797881">
              <w:rPr>
                <w:rFonts w:eastAsia="Times New Roman" w:cstheme="minorHAnsi"/>
                <w:b/>
                <w:bCs/>
                <w:color w:val="000000"/>
                <w:lang w:eastAsia="en-AU"/>
              </w:rPr>
              <w:t> </w:t>
            </w:r>
          </w:p>
        </w:tc>
        <w:tc>
          <w:tcPr>
            <w:tcW w:w="2948" w:type="dxa"/>
            <w:tcBorders>
              <w:top w:val="single" w:sz="4" w:space="0" w:color="auto"/>
              <w:left w:val="nil"/>
              <w:bottom w:val="single" w:sz="4" w:space="0" w:color="auto"/>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b/>
                <w:bCs/>
                <w:color w:val="000000"/>
                <w:lang w:eastAsia="en-AU"/>
              </w:rPr>
            </w:pPr>
            <w:r w:rsidRPr="00797881">
              <w:rPr>
                <w:rFonts w:eastAsia="Times New Roman" w:cstheme="minorHAnsi"/>
                <w:b/>
                <w:bCs/>
                <w:color w:val="000000"/>
                <w:lang w:eastAsia="en-AU"/>
              </w:rPr>
              <w:t> </w:t>
            </w:r>
          </w:p>
        </w:tc>
        <w:tc>
          <w:tcPr>
            <w:tcW w:w="1411" w:type="dxa"/>
            <w:tcBorders>
              <w:top w:val="single" w:sz="4" w:space="0" w:color="auto"/>
              <w:left w:val="nil"/>
              <w:bottom w:val="single" w:sz="4" w:space="0" w:color="auto"/>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b/>
                <w:bCs/>
                <w:color w:val="000000"/>
                <w:lang w:eastAsia="en-AU"/>
              </w:rPr>
            </w:pPr>
            <w:r w:rsidRPr="00797881">
              <w:rPr>
                <w:rFonts w:eastAsia="Times New Roman" w:cstheme="minorHAnsi"/>
                <w:b/>
                <w:bCs/>
                <w:color w:val="000000"/>
                <w:lang w:eastAsia="en-AU"/>
              </w:rPr>
              <w:t xml:space="preserve">     2,404.88 </w:t>
            </w:r>
          </w:p>
        </w:tc>
      </w:tr>
      <w:tr w:rsidR="00D7519B" w:rsidRPr="00797881" w:rsidTr="0053648E">
        <w:trPr>
          <w:trHeight w:val="402"/>
        </w:trPr>
        <w:tc>
          <w:tcPr>
            <w:tcW w:w="2786" w:type="dxa"/>
            <w:tcBorders>
              <w:top w:val="nil"/>
              <w:left w:val="nil"/>
              <w:bottom w:val="nil"/>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lang w:eastAsia="en-AU"/>
              </w:rPr>
            </w:pPr>
          </w:p>
        </w:tc>
        <w:tc>
          <w:tcPr>
            <w:tcW w:w="1411" w:type="dxa"/>
            <w:tcBorders>
              <w:top w:val="nil"/>
              <w:left w:val="nil"/>
              <w:bottom w:val="nil"/>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lang w:eastAsia="en-AU"/>
              </w:rPr>
            </w:pPr>
          </w:p>
        </w:tc>
        <w:tc>
          <w:tcPr>
            <w:tcW w:w="271" w:type="dxa"/>
            <w:tcBorders>
              <w:top w:val="nil"/>
              <w:left w:val="nil"/>
              <w:bottom w:val="nil"/>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lang w:eastAsia="en-AU"/>
              </w:rPr>
            </w:pPr>
          </w:p>
        </w:tc>
        <w:tc>
          <w:tcPr>
            <w:tcW w:w="2948" w:type="dxa"/>
            <w:tcBorders>
              <w:top w:val="nil"/>
              <w:left w:val="nil"/>
              <w:bottom w:val="nil"/>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b/>
                <w:bCs/>
                <w:color w:val="000000"/>
                <w:lang w:eastAsia="en-AU"/>
              </w:rPr>
            </w:pPr>
            <w:r w:rsidRPr="00797881">
              <w:rPr>
                <w:rFonts w:eastAsia="Times New Roman" w:cstheme="minorHAnsi"/>
                <w:b/>
                <w:bCs/>
                <w:color w:val="000000"/>
                <w:lang w:eastAsia="en-AU"/>
              </w:rPr>
              <w:t>Balance carried forward</w:t>
            </w:r>
            <w:r>
              <w:rPr>
                <w:rFonts w:eastAsia="Times New Roman" w:cstheme="minorHAnsi"/>
                <w:b/>
                <w:bCs/>
                <w:color w:val="000000"/>
                <w:lang w:eastAsia="en-AU"/>
              </w:rPr>
              <w:t xml:space="preserve"> as at 30 June 2017</w:t>
            </w:r>
          </w:p>
        </w:tc>
        <w:tc>
          <w:tcPr>
            <w:tcW w:w="1411" w:type="dxa"/>
            <w:tcBorders>
              <w:top w:val="nil"/>
              <w:left w:val="nil"/>
              <w:bottom w:val="nil"/>
              <w:right w:val="nil"/>
            </w:tcBorders>
            <w:shd w:val="clear" w:color="auto" w:fill="auto"/>
            <w:noWrap/>
            <w:vAlign w:val="bottom"/>
            <w:hideMark/>
          </w:tcPr>
          <w:p w:rsidR="00D7519B" w:rsidRPr="00797881" w:rsidRDefault="00D7519B" w:rsidP="0053648E">
            <w:pPr>
              <w:spacing w:after="120" w:line="276" w:lineRule="auto"/>
              <w:jc w:val="right"/>
              <w:rPr>
                <w:rFonts w:eastAsia="Times New Roman" w:cstheme="minorHAnsi"/>
                <w:b/>
                <w:bCs/>
                <w:color w:val="000000"/>
                <w:lang w:eastAsia="en-AU"/>
              </w:rPr>
            </w:pPr>
            <w:r w:rsidRPr="00797881">
              <w:rPr>
                <w:rFonts w:eastAsia="Times New Roman" w:cstheme="minorHAnsi"/>
                <w:b/>
                <w:bCs/>
                <w:color w:val="000000"/>
                <w:lang w:eastAsia="en-AU"/>
              </w:rPr>
              <w:t>$904.19</w:t>
            </w:r>
          </w:p>
        </w:tc>
      </w:tr>
    </w:tbl>
    <w:p w:rsidR="0094485F" w:rsidRDefault="0094485F" w:rsidP="00AA6DEA">
      <w:pPr>
        <w:spacing w:after="120" w:line="276" w:lineRule="auto"/>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Default="0094485F" w:rsidP="0094485F">
      <w:pPr>
        <w:rPr>
          <w:rFonts w:cstheme="minorHAnsi"/>
        </w:rPr>
      </w:pPr>
    </w:p>
    <w:p w:rsidR="00D7519B" w:rsidRPr="0094485F" w:rsidRDefault="0094485F" w:rsidP="0094485F">
      <w:pPr>
        <w:tabs>
          <w:tab w:val="left" w:pos="2415"/>
        </w:tabs>
        <w:rPr>
          <w:rFonts w:cstheme="minorHAnsi"/>
        </w:rPr>
      </w:pPr>
      <w:r>
        <w:rPr>
          <w:rFonts w:cstheme="minorHAnsi"/>
        </w:rPr>
        <w:tab/>
      </w:r>
    </w:p>
    <w:sectPr w:rsidR="00D7519B" w:rsidRPr="0094485F" w:rsidSect="0094485F">
      <w:headerReference w:type="default" r:id="rId15"/>
      <w:footerReference w:type="default" r:id="rId16"/>
      <w:pgSz w:w="11906" w:h="16838"/>
      <w:pgMar w:top="1644" w:right="1440" w:bottom="136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BA6" w:rsidRDefault="00ED5BA6" w:rsidP="000274E7">
      <w:pPr>
        <w:spacing w:after="0" w:line="240" w:lineRule="auto"/>
      </w:pPr>
      <w:r>
        <w:separator/>
      </w:r>
    </w:p>
  </w:endnote>
  <w:endnote w:type="continuationSeparator" w:id="0">
    <w:p w:rsidR="00ED5BA6" w:rsidRDefault="00ED5BA6" w:rsidP="0002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4E7" w:rsidRPr="000274E7" w:rsidRDefault="000274E7" w:rsidP="000274E7">
    <w:pPr>
      <w:pStyle w:val="Footer"/>
      <w:pBdr>
        <w:top w:val="single" w:sz="4" w:space="1" w:color="auto"/>
      </w:pBdr>
      <w:rPr>
        <w:sz w:val="20"/>
        <w:szCs w:val="20"/>
      </w:rPr>
    </w:pPr>
    <w:r w:rsidRPr="000274E7">
      <w:rPr>
        <w:sz w:val="20"/>
        <w:szCs w:val="20"/>
      </w:rPr>
      <w:t>Centre for Universal Design Australia Ltd</w:t>
    </w:r>
    <w:r w:rsidRPr="000274E7">
      <w:rPr>
        <w:sz w:val="20"/>
        <w:szCs w:val="20"/>
      </w:rPr>
      <w:tab/>
      <w:t>Annual Report</w:t>
    </w:r>
    <w:r w:rsidR="0094485F">
      <w:rPr>
        <w:sz w:val="20"/>
        <w:szCs w:val="20"/>
      </w:rPr>
      <w:t xml:space="preserve"> 2016-2017</w:t>
    </w:r>
    <w:r w:rsidRPr="000274E7">
      <w:rPr>
        <w:sz w:val="20"/>
        <w:szCs w:val="20"/>
      </w:rPr>
      <w:tab/>
      <w:t xml:space="preserve">Page </w:t>
    </w:r>
    <w:r w:rsidRPr="000274E7">
      <w:rPr>
        <w:sz w:val="20"/>
        <w:szCs w:val="20"/>
      </w:rPr>
      <w:fldChar w:fldCharType="begin"/>
    </w:r>
    <w:r w:rsidRPr="000274E7">
      <w:rPr>
        <w:sz w:val="20"/>
        <w:szCs w:val="20"/>
      </w:rPr>
      <w:instrText xml:space="preserve"> PAGE   \* MERGEFORMAT </w:instrText>
    </w:r>
    <w:r w:rsidRPr="000274E7">
      <w:rPr>
        <w:sz w:val="20"/>
        <w:szCs w:val="20"/>
      </w:rPr>
      <w:fldChar w:fldCharType="separate"/>
    </w:r>
    <w:r w:rsidR="008F1487">
      <w:rPr>
        <w:noProof/>
        <w:sz w:val="20"/>
        <w:szCs w:val="20"/>
      </w:rPr>
      <w:t>5</w:t>
    </w:r>
    <w:r w:rsidRPr="000274E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BA6" w:rsidRDefault="00ED5BA6" w:rsidP="000274E7">
      <w:pPr>
        <w:spacing w:after="0" w:line="240" w:lineRule="auto"/>
      </w:pPr>
      <w:r>
        <w:separator/>
      </w:r>
    </w:p>
  </w:footnote>
  <w:footnote w:type="continuationSeparator" w:id="0">
    <w:p w:rsidR="00ED5BA6" w:rsidRDefault="00ED5BA6" w:rsidP="00027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4E7" w:rsidRDefault="000274E7" w:rsidP="000274E7">
    <w:pPr>
      <w:pStyle w:val="Header"/>
      <w:jc w:val="right"/>
    </w:pPr>
    <w:r>
      <w:rPr>
        <w:rFonts w:cstheme="minorHAnsi"/>
        <w:noProof/>
        <w:lang w:eastAsia="en-AU"/>
      </w:rPr>
      <w:drawing>
        <wp:inline distT="0" distB="0" distL="0" distR="0" wp14:anchorId="1BB523C3" wp14:editId="0F29AEB5">
          <wp:extent cx="838200" cy="5163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156" cy="521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97"/>
    <w:rsid w:val="00015050"/>
    <w:rsid w:val="000274E7"/>
    <w:rsid w:val="00033F01"/>
    <w:rsid w:val="00034414"/>
    <w:rsid w:val="00045986"/>
    <w:rsid w:val="00055379"/>
    <w:rsid w:val="00055474"/>
    <w:rsid w:val="00062544"/>
    <w:rsid w:val="00062EFB"/>
    <w:rsid w:val="000762A9"/>
    <w:rsid w:val="000879DF"/>
    <w:rsid w:val="00092BE2"/>
    <w:rsid w:val="000A0428"/>
    <w:rsid w:val="000A2ACF"/>
    <w:rsid w:val="000A43B1"/>
    <w:rsid w:val="000A6428"/>
    <w:rsid w:val="000B6350"/>
    <w:rsid w:val="000C0C89"/>
    <w:rsid w:val="000C2EA3"/>
    <w:rsid w:val="000E79B5"/>
    <w:rsid w:val="000F2A04"/>
    <w:rsid w:val="000F2F08"/>
    <w:rsid w:val="00117914"/>
    <w:rsid w:val="00135B22"/>
    <w:rsid w:val="00153A25"/>
    <w:rsid w:val="00162A99"/>
    <w:rsid w:val="00190DBF"/>
    <w:rsid w:val="001A0C08"/>
    <w:rsid w:val="001B1E32"/>
    <w:rsid w:val="001B7611"/>
    <w:rsid w:val="001C678F"/>
    <w:rsid w:val="001D3D46"/>
    <w:rsid w:val="001D3E72"/>
    <w:rsid w:val="001F050F"/>
    <w:rsid w:val="00207874"/>
    <w:rsid w:val="00222B7A"/>
    <w:rsid w:val="00237011"/>
    <w:rsid w:val="00243746"/>
    <w:rsid w:val="0024724D"/>
    <w:rsid w:val="002A4CD0"/>
    <w:rsid w:val="002B0367"/>
    <w:rsid w:val="002D1EA8"/>
    <w:rsid w:val="002E3AB1"/>
    <w:rsid w:val="002F56DD"/>
    <w:rsid w:val="00313470"/>
    <w:rsid w:val="00330315"/>
    <w:rsid w:val="00340305"/>
    <w:rsid w:val="003413AC"/>
    <w:rsid w:val="00344E3D"/>
    <w:rsid w:val="003658DE"/>
    <w:rsid w:val="003745C7"/>
    <w:rsid w:val="0037796E"/>
    <w:rsid w:val="00386A51"/>
    <w:rsid w:val="003A4CC0"/>
    <w:rsid w:val="003A6FA7"/>
    <w:rsid w:val="003F2610"/>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26C64"/>
    <w:rsid w:val="0053317A"/>
    <w:rsid w:val="00543CFC"/>
    <w:rsid w:val="005558D0"/>
    <w:rsid w:val="00561067"/>
    <w:rsid w:val="00573810"/>
    <w:rsid w:val="005A7554"/>
    <w:rsid w:val="005B0366"/>
    <w:rsid w:val="005B0C86"/>
    <w:rsid w:val="005B101C"/>
    <w:rsid w:val="005B5DB1"/>
    <w:rsid w:val="005C02EF"/>
    <w:rsid w:val="005D5530"/>
    <w:rsid w:val="005E37E2"/>
    <w:rsid w:val="006040EC"/>
    <w:rsid w:val="006103E5"/>
    <w:rsid w:val="00613944"/>
    <w:rsid w:val="0062278B"/>
    <w:rsid w:val="00646FE8"/>
    <w:rsid w:val="00654544"/>
    <w:rsid w:val="00656AFE"/>
    <w:rsid w:val="00672A47"/>
    <w:rsid w:val="00674C44"/>
    <w:rsid w:val="00680CEC"/>
    <w:rsid w:val="006839D2"/>
    <w:rsid w:val="00696422"/>
    <w:rsid w:val="006B007D"/>
    <w:rsid w:val="006C3F86"/>
    <w:rsid w:val="006C7A87"/>
    <w:rsid w:val="006D116C"/>
    <w:rsid w:val="006E4E43"/>
    <w:rsid w:val="006F5638"/>
    <w:rsid w:val="00712F63"/>
    <w:rsid w:val="007202C2"/>
    <w:rsid w:val="00722401"/>
    <w:rsid w:val="007228FB"/>
    <w:rsid w:val="0073049A"/>
    <w:rsid w:val="00736141"/>
    <w:rsid w:val="0076223A"/>
    <w:rsid w:val="00762544"/>
    <w:rsid w:val="00762CF0"/>
    <w:rsid w:val="00766176"/>
    <w:rsid w:val="00774B76"/>
    <w:rsid w:val="00776FFF"/>
    <w:rsid w:val="007835F4"/>
    <w:rsid w:val="00794939"/>
    <w:rsid w:val="00797881"/>
    <w:rsid w:val="007C0A56"/>
    <w:rsid w:val="007C0CAD"/>
    <w:rsid w:val="007C21D9"/>
    <w:rsid w:val="007C393E"/>
    <w:rsid w:val="007D23B6"/>
    <w:rsid w:val="007D56D9"/>
    <w:rsid w:val="007F0239"/>
    <w:rsid w:val="00804C70"/>
    <w:rsid w:val="008235A9"/>
    <w:rsid w:val="00873A46"/>
    <w:rsid w:val="0087453F"/>
    <w:rsid w:val="008941D1"/>
    <w:rsid w:val="00896310"/>
    <w:rsid w:val="00896461"/>
    <w:rsid w:val="008A65A1"/>
    <w:rsid w:val="008B61F2"/>
    <w:rsid w:val="008B7B07"/>
    <w:rsid w:val="008D4DAB"/>
    <w:rsid w:val="008F1487"/>
    <w:rsid w:val="00904E96"/>
    <w:rsid w:val="00916182"/>
    <w:rsid w:val="00923C3E"/>
    <w:rsid w:val="0092433C"/>
    <w:rsid w:val="009279CA"/>
    <w:rsid w:val="0094485F"/>
    <w:rsid w:val="009546DF"/>
    <w:rsid w:val="00982596"/>
    <w:rsid w:val="00992C97"/>
    <w:rsid w:val="009B681B"/>
    <w:rsid w:val="009F20F3"/>
    <w:rsid w:val="00A05B78"/>
    <w:rsid w:val="00A06EF9"/>
    <w:rsid w:val="00A25E71"/>
    <w:rsid w:val="00A336CA"/>
    <w:rsid w:val="00A5287D"/>
    <w:rsid w:val="00A56840"/>
    <w:rsid w:val="00A642D1"/>
    <w:rsid w:val="00A76FB9"/>
    <w:rsid w:val="00AA5790"/>
    <w:rsid w:val="00AA6DEA"/>
    <w:rsid w:val="00AD173E"/>
    <w:rsid w:val="00AF5234"/>
    <w:rsid w:val="00B00FBA"/>
    <w:rsid w:val="00B023E5"/>
    <w:rsid w:val="00B04A2A"/>
    <w:rsid w:val="00B077BD"/>
    <w:rsid w:val="00B16D0D"/>
    <w:rsid w:val="00B31E94"/>
    <w:rsid w:val="00B4389A"/>
    <w:rsid w:val="00B449F8"/>
    <w:rsid w:val="00B57273"/>
    <w:rsid w:val="00B836F5"/>
    <w:rsid w:val="00BA11CA"/>
    <w:rsid w:val="00BA4C66"/>
    <w:rsid w:val="00BB038C"/>
    <w:rsid w:val="00BB3359"/>
    <w:rsid w:val="00BB4922"/>
    <w:rsid w:val="00BC0360"/>
    <w:rsid w:val="00BC560B"/>
    <w:rsid w:val="00BD14BE"/>
    <w:rsid w:val="00BD6970"/>
    <w:rsid w:val="00BE16CA"/>
    <w:rsid w:val="00BE3981"/>
    <w:rsid w:val="00BF6D17"/>
    <w:rsid w:val="00BF71B2"/>
    <w:rsid w:val="00C175F8"/>
    <w:rsid w:val="00C3102E"/>
    <w:rsid w:val="00C373E3"/>
    <w:rsid w:val="00C40F7D"/>
    <w:rsid w:val="00C465DD"/>
    <w:rsid w:val="00C46C2A"/>
    <w:rsid w:val="00C91C72"/>
    <w:rsid w:val="00CA4434"/>
    <w:rsid w:val="00CA711C"/>
    <w:rsid w:val="00CA74A3"/>
    <w:rsid w:val="00CB3F57"/>
    <w:rsid w:val="00CB4834"/>
    <w:rsid w:val="00CD6977"/>
    <w:rsid w:val="00D0383B"/>
    <w:rsid w:val="00D06436"/>
    <w:rsid w:val="00D13CD4"/>
    <w:rsid w:val="00D15485"/>
    <w:rsid w:val="00D1599E"/>
    <w:rsid w:val="00D30947"/>
    <w:rsid w:val="00D401CF"/>
    <w:rsid w:val="00D529EB"/>
    <w:rsid w:val="00D64DA4"/>
    <w:rsid w:val="00D7519B"/>
    <w:rsid w:val="00DA15F3"/>
    <w:rsid w:val="00DC359B"/>
    <w:rsid w:val="00DC66DA"/>
    <w:rsid w:val="00DD5313"/>
    <w:rsid w:val="00DE32C6"/>
    <w:rsid w:val="00DE4CB8"/>
    <w:rsid w:val="00DF0E13"/>
    <w:rsid w:val="00E04004"/>
    <w:rsid w:val="00E111BE"/>
    <w:rsid w:val="00E13244"/>
    <w:rsid w:val="00E35632"/>
    <w:rsid w:val="00E4071E"/>
    <w:rsid w:val="00E514F8"/>
    <w:rsid w:val="00E66B08"/>
    <w:rsid w:val="00E7025C"/>
    <w:rsid w:val="00E72E35"/>
    <w:rsid w:val="00EA0B56"/>
    <w:rsid w:val="00EA1919"/>
    <w:rsid w:val="00EB12A1"/>
    <w:rsid w:val="00ED5BA6"/>
    <w:rsid w:val="00F03A11"/>
    <w:rsid w:val="00F1447E"/>
    <w:rsid w:val="00F21D5E"/>
    <w:rsid w:val="00F267BB"/>
    <w:rsid w:val="00F45DC5"/>
    <w:rsid w:val="00F646CA"/>
    <w:rsid w:val="00F71698"/>
    <w:rsid w:val="00F85A9B"/>
    <w:rsid w:val="00F94EA1"/>
    <w:rsid w:val="00F9519C"/>
    <w:rsid w:val="00FA12C3"/>
    <w:rsid w:val="00FB692D"/>
    <w:rsid w:val="00FD3083"/>
    <w:rsid w:val="00FD73B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CF4371-D543-44FF-8B31-76D9B1F3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A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15485"/>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xheading5char">
    <w:name w:val="x_heading5char"/>
    <w:basedOn w:val="DefaultParagraphFont"/>
    <w:rsid w:val="00D15485"/>
  </w:style>
  <w:style w:type="paragraph" w:styleId="NormalWeb">
    <w:name w:val="Normal (Web)"/>
    <w:basedOn w:val="Normal"/>
    <w:uiPriority w:val="99"/>
    <w:semiHidden/>
    <w:unhideWhenUsed/>
    <w:rsid w:val="001F050F"/>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m5589966638640658961application-view-headertitle">
    <w:name w:val="m_5589966638640658961application-view-header__title"/>
    <w:basedOn w:val="DefaultParagraphFont"/>
    <w:rsid w:val="001F050F"/>
  </w:style>
  <w:style w:type="paragraph" w:styleId="Header">
    <w:name w:val="header"/>
    <w:basedOn w:val="Normal"/>
    <w:link w:val="HeaderChar"/>
    <w:uiPriority w:val="99"/>
    <w:unhideWhenUsed/>
    <w:rsid w:val="00027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4E7"/>
  </w:style>
  <w:style w:type="paragraph" w:styleId="Footer">
    <w:name w:val="footer"/>
    <w:basedOn w:val="Normal"/>
    <w:link w:val="FooterChar"/>
    <w:uiPriority w:val="99"/>
    <w:unhideWhenUsed/>
    <w:rsid w:val="00027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3034">
      <w:bodyDiv w:val="1"/>
      <w:marLeft w:val="0"/>
      <w:marRight w:val="0"/>
      <w:marTop w:val="0"/>
      <w:marBottom w:val="0"/>
      <w:divBdr>
        <w:top w:val="none" w:sz="0" w:space="0" w:color="auto"/>
        <w:left w:val="none" w:sz="0" w:space="0" w:color="auto"/>
        <w:bottom w:val="none" w:sz="0" w:space="0" w:color="auto"/>
        <w:right w:val="none" w:sz="0" w:space="0" w:color="auto"/>
      </w:divBdr>
    </w:div>
    <w:div w:id="305666373">
      <w:bodyDiv w:val="1"/>
      <w:marLeft w:val="0"/>
      <w:marRight w:val="0"/>
      <w:marTop w:val="0"/>
      <w:marBottom w:val="0"/>
      <w:divBdr>
        <w:top w:val="none" w:sz="0" w:space="0" w:color="auto"/>
        <w:left w:val="none" w:sz="0" w:space="0" w:color="auto"/>
        <w:bottom w:val="none" w:sz="0" w:space="0" w:color="auto"/>
        <w:right w:val="none" w:sz="0" w:space="0" w:color="auto"/>
      </w:divBdr>
    </w:div>
    <w:div w:id="1071930363">
      <w:bodyDiv w:val="1"/>
      <w:marLeft w:val="0"/>
      <w:marRight w:val="0"/>
      <w:marTop w:val="0"/>
      <w:marBottom w:val="0"/>
      <w:divBdr>
        <w:top w:val="none" w:sz="0" w:space="0" w:color="auto"/>
        <w:left w:val="none" w:sz="0" w:space="0" w:color="auto"/>
        <w:bottom w:val="none" w:sz="0" w:space="0" w:color="auto"/>
        <w:right w:val="none" w:sz="0" w:space="0" w:color="auto"/>
      </w:divBdr>
    </w:div>
    <w:div w:id="1237403752">
      <w:bodyDiv w:val="1"/>
      <w:marLeft w:val="0"/>
      <w:marRight w:val="0"/>
      <w:marTop w:val="0"/>
      <w:marBottom w:val="0"/>
      <w:divBdr>
        <w:top w:val="none" w:sz="0" w:space="0" w:color="auto"/>
        <w:left w:val="none" w:sz="0" w:space="0" w:color="auto"/>
        <w:bottom w:val="none" w:sz="0" w:space="0" w:color="auto"/>
        <w:right w:val="none" w:sz="0" w:space="0" w:color="auto"/>
      </w:divBdr>
    </w:div>
    <w:div w:id="15682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20</cp:revision>
  <dcterms:created xsi:type="dcterms:W3CDTF">2017-09-11T05:13:00Z</dcterms:created>
  <dcterms:modified xsi:type="dcterms:W3CDTF">2017-10-18T03:45:00Z</dcterms:modified>
</cp:coreProperties>
</file>