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B563" w14:textId="434CC385" w:rsidR="00174FD9" w:rsidRPr="00174FD9" w:rsidRDefault="00315F63" w:rsidP="00174FD9">
      <w:bookmarkStart w:id="0" w:name="_GoBack"/>
      <w:bookmarkEnd w:id="0"/>
      <w:r w:rsidRPr="00315F63">
        <w:rPr>
          <w:noProof/>
          <w:lang w:eastAsia="en-AU"/>
        </w:rPr>
        <w:drawing>
          <wp:anchor distT="0" distB="0" distL="114300" distR="114300" simplePos="0" relativeHeight="251658240" behindDoc="0" locked="0" layoutInCell="1" allowOverlap="1" wp14:anchorId="69D58403" wp14:editId="63F4FD42">
            <wp:simplePos x="0" y="0"/>
            <wp:positionH relativeFrom="page">
              <wp:align>left</wp:align>
            </wp:positionH>
            <wp:positionV relativeFrom="paragraph">
              <wp:posOffset>-914400</wp:posOffset>
            </wp:positionV>
            <wp:extent cx="7562850" cy="10706636"/>
            <wp:effectExtent l="0" t="0" r="0" b="0"/>
            <wp:wrapNone/>
            <wp:docPr id="4" name="Picture 4" descr="Front cover - ABCB Logo with title &quot;Accessible Housing Options Paper September 2018&quot;"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8721" cy="10714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2B564" w14:textId="77777777" w:rsidR="00174FD9" w:rsidRPr="00174FD9" w:rsidRDefault="00307D42" w:rsidP="00174FD9">
      <w:pPr>
        <w:jc w:val="center"/>
      </w:pPr>
      <w:r>
        <w:rPr>
          <w:noProof/>
          <w:lang w:eastAsia="en-AU"/>
        </w:rPr>
        <w:drawing>
          <wp:inline distT="0" distB="0" distL="0" distR="0" wp14:anchorId="3CB2B60D" wp14:editId="3CB2B60E">
            <wp:extent cx="1219200" cy="1739391"/>
            <wp:effectExtent l="0" t="0" r="0" b="0"/>
            <wp:docPr id="2" name="Picture 2" descr="The Australian Build Cod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y\AppData\Local\Microsoft\Windows\Temporary Internet Files\Content.Word\ABCB_2010_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862" cy="1746042"/>
                    </a:xfrm>
                    <a:prstGeom prst="rect">
                      <a:avLst/>
                    </a:prstGeom>
                    <a:noFill/>
                    <a:ln>
                      <a:noFill/>
                    </a:ln>
                  </pic:spPr>
                </pic:pic>
              </a:graphicData>
            </a:graphic>
          </wp:inline>
        </w:drawing>
      </w:r>
    </w:p>
    <w:p w14:paraId="3CB2B565" w14:textId="2A2CAC1C" w:rsidR="00174FD9" w:rsidRPr="00174FD9" w:rsidRDefault="0092135D" w:rsidP="001F0E1D">
      <w:pPr>
        <w:pStyle w:val="Title"/>
      </w:pPr>
      <w:r>
        <w:t>Accessible Housing</w:t>
      </w:r>
    </w:p>
    <w:p w14:paraId="3CB2B566" w14:textId="641E6360" w:rsidR="00174FD9" w:rsidRPr="00174FD9" w:rsidRDefault="0092135D" w:rsidP="001F0E1D">
      <w:pPr>
        <w:pStyle w:val="Subtitle"/>
      </w:pPr>
      <w:r>
        <w:t>Options</w:t>
      </w:r>
      <w:r w:rsidR="00A05DD5">
        <w:t xml:space="preserve"> Paper</w:t>
      </w:r>
      <w:r w:rsidR="00753949">
        <w:t xml:space="preserve"> </w:t>
      </w:r>
    </w:p>
    <w:p w14:paraId="3CB2B567" w14:textId="7615FA78" w:rsidR="00A05DD5" w:rsidRPr="00A05DD5" w:rsidRDefault="0066267D" w:rsidP="00A05DD5">
      <w:pPr>
        <w:pStyle w:val="TitlePagedate"/>
      </w:pPr>
      <w:r>
        <w:t>September</w:t>
      </w:r>
      <w:r w:rsidR="00174FD9" w:rsidRPr="00174FD9">
        <w:t xml:space="preserve"> </w:t>
      </w:r>
      <w:r w:rsidR="0092135D">
        <w:t>2018</w:t>
      </w:r>
      <w:r w:rsidR="00A05DD5">
        <w:rPr>
          <w:b w:val="0"/>
          <w:sz w:val="32"/>
          <w:szCs w:val="32"/>
        </w:rPr>
        <w:br w:type="page"/>
      </w:r>
    </w:p>
    <w:p w14:paraId="3153390C" w14:textId="77777777" w:rsidR="00E5159C" w:rsidRPr="00F4373F" w:rsidRDefault="00E5159C" w:rsidP="00E5159C">
      <w:pPr>
        <w:pStyle w:val="Heading-Legal"/>
        <w:rPr>
          <w:szCs w:val="16"/>
        </w:rPr>
      </w:pPr>
      <w:bookmarkStart w:id="1" w:name="_Toc503962721"/>
      <w:r w:rsidRPr="00F4373F">
        <w:lastRenderedPageBreak/>
        <w:t>Copyright and licence notice</w:t>
      </w:r>
    </w:p>
    <w:p w14:paraId="60C05221" w14:textId="77777777" w:rsidR="00E5159C" w:rsidRPr="006711B6" w:rsidRDefault="00E5159C" w:rsidP="00E5159C">
      <w:pPr>
        <w:pStyle w:val="CopyrightStatement"/>
        <w:rPr>
          <w:sz w:val="20"/>
          <w:lang w:eastAsia="en-US"/>
        </w:rPr>
      </w:pPr>
      <w:r w:rsidRPr="006711B6">
        <w:rPr>
          <w:sz w:val="20"/>
          <w:lang w:eastAsia="en-US"/>
        </w:rPr>
        <w:t>© 201</w:t>
      </w:r>
      <w:r>
        <w:rPr>
          <w:sz w:val="20"/>
          <w:lang w:eastAsia="en-US"/>
        </w:rPr>
        <w:t>8</w:t>
      </w:r>
      <w:r w:rsidRPr="006711B6">
        <w:rPr>
          <w:sz w:val="20"/>
          <w:lang w:eastAsia="en-US"/>
        </w:rPr>
        <w:t xml:space="preserve"> Commonwealth of Australia and States and Territories of Australia</w:t>
      </w:r>
    </w:p>
    <w:p w14:paraId="4D1BB4D9" w14:textId="77777777" w:rsidR="00E5159C" w:rsidRPr="006711B6" w:rsidRDefault="00E5159C" w:rsidP="00E5159C">
      <w:pPr>
        <w:pStyle w:val="CopyrightStatement"/>
        <w:rPr>
          <w:sz w:val="20"/>
          <w:lang w:eastAsia="en-US"/>
        </w:rPr>
      </w:pPr>
      <w:r w:rsidRPr="006711B6">
        <w:rPr>
          <w:sz w:val="20"/>
          <w:lang w:eastAsia="en-US"/>
        </w:rPr>
        <w:t>Ownership of intellectual property rights</w:t>
      </w:r>
    </w:p>
    <w:p w14:paraId="3AF5C226" w14:textId="77777777" w:rsidR="00E5159C" w:rsidRPr="006711B6" w:rsidRDefault="00E5159C" w:rsidP="00E5159C">
      <w:pPr>
        <w:pStyle w:val="CopyrightText"/>
        <w:rPr>
          <w:sz w:val="20"/>
        </w:rPr>
      </w:pPr>
      <w:r w:rsidRPr="006711B6">
        <w:rPr>
          <w:sz w:val="20"/>
        </w:rPr>
        <w:t>Unless otherwise noted, copyright (and any other intellectual property rights, if any) in this publication is jointly owned by the Commonwealth, States and Territories of Australia.</w:t>
      </w:r>
    </w:p>
    <w:p w14:paraId="0125F311" w14:textId="77777777" w:rsidR="00E5159C" w:rsidRPr="006711B6" w:rsidRDefault="00E5159C" w:rsidP="00E5159C">
      <w:pPr>
        <w:pStyle w:val="CreativeCommonsstatement"/>
        <w:jc w:val="left"/>
        <w:rPr>
          <w:b/>
          <w:sz w:val="20"/>
          <w:lang w:eastAsia="en-US"/>
        </w:rPr>
      </w:pPr>
      <w:r w:rsidRPr="006711B6">
        <w:rPr>
          <w:rFonts w:ascii="Times New Roman" w:hAnsi="Times New Roman"/>
          <w:noProof/>
          <w:sz w:val="20"/>
        </w:rPr>
        <w:drawing>
          <wp:anchor distT="0" distB="0" distL="114300" distR="114300" simplePos="0" relativeHeight="251660288" behindDoc="0" locked="0" layoutInCell="1" allowOverlap="1" wp14:anchorId="6DEAE4EB" wp14:editId="675D07AD">
            <wp:simplePos x="0" y="0"/>
            <wp:positionH relativeFrom="column">
              <wp:posOffset>3686175</wp:posOffset>
            </wp:positionH>
            <wp:positionV relativeFrom="paragraph">
              <wp:posOffset>38100</wp:posOffset>
            </wp:positionV>
            <wp:extent cx="957923" cy="337047"/>
            <wp:effectExtent l="0" t="0" r="0" b="6350"/>
            <wp:wrapThrough wrapText="bothSides">
              <wp:wrapPolygon edited="0">
                <wp:start x="0" y="0"/>
                <wp:lineTo x="0" y="20785"/>
                <wp:lineTo x="21056" y="20785"/>
                <wp:lineTo x="21056" y="0"/>
                <wp:lineTo x="0" y="0"/>
              </wp:wrapPolygon>
            </wp:wrapThrough>
            <wp:docPr id="3" name="Picture 3" descr="Creative Commons licence CC BY-NC-ND 4.0" title="Creative Commons licence CC BY-NC-N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ND 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923" cy="337047"/>
                    </a:xfrm>
                    <a:prstGeom prst="rect">
                      <a:avLst/>
                    </a:prstGeom>
                  </pic:spPr>
                </pic:pic>
              </a:graphicData>
            </a:graphic>
          </wp:anchor>
        </w:drawing>
      </w:r>
      <w:r w:rsidRPr="006711B6">
        <w:rPr>
          <w:b/>
          <w:sz w:val="20"/>
          <w:lang w:eastAsia="en-US"/>
        </w:rPr>
        <w:t>Creative Commons</w:t>
      </w:r>
    </w:p>
    <w:p w14:paraId="27EA7CB0" w14:textId="77777777" w:rsidR="00E5159C" w:rsidRPr="006711B6" w:rsidRDefault="00E5159C" w:rsidP="00E5159C">
      <w:pPr>
        <w:pStyle w:val="CreativeCommonsstatement"/>
        <w:jc w:val="left"/>
        <w:rPr>
          <w:b/>
          <w:sz w:val="20"/>
          <w:lang w:eastAsia="en-US"/>
        </w:rPr>
      </w:pPr>
      <w:r w:rsidRPr="006711B6">
        <w:rPr>
          <w:b/>
          <w:sz w:val="20"/>
          <w:lang w:eastAsia="en-US"/>
        </w:rPr>
        <w:t>licence Attribution</w:t>
      </w:r>
    </w:p>
    <w:p w14:paraId="69BE378A" w14:textId="77777777" w:rsidR="00E5159C" w:rsidRPr="006711B6" w:rsidRDefault="00E5159C" w:rsidP="00E5159C">
      <w:pPr>
        <w:pStyle w:val="CreativeCommonsstatement"/>
        <w:spacing w:after="120"/>
        <w:jc w:val="left"/>
        <w:rPr>
          <w:b/>
          <w:sz w:val="20"/>
          <w:lang w:eastAsia="en-US"/>
        </w:rPr>
      </w:pPr>
      <w:r w:rsidRPr="006711B6">
        <w:rPr>
          <w:b/>
          <w:sz w:val="20"/>
          <w:lang w:eastAsia="en-US"/>
        </w:rPr>
        <w:t>CC BY-NC-ND 4.0</w:t>
      </w:r>
    </w:p>
    <w:p w14:paraId="4165990A" w14:textId="77777777" w:rsidR="00E5159C" w:rsidRPr="006711B6" w:rsidRDefault="00E5159C" w:rsidP="00E5159C">
      <w:pPr>
        <w:tabs>
          <w:tab w:val="left" w:pos="4052"/>
        </w:tabs>
        <w:spacing w:after="0" w:line="240" w:lineRule="auto"/>
        <w:ind w:left="142"/>
        <w:rPr>
          <w:sz w:val="18"/>
        </w:rPr>
      </w:pPr>
      <w:r w:rsidRPr="006711B6">
        <w:rPr>
          <w:sz w:val="18"/>
        </w:rPr>
        <w:t>All material in this publication is licensed under a Creative Commons Attribution-NonCommercial-NoDerivatives 4.0 International Licence, save for logos. Attribution-NonCommercial-NoDerivatives 4.0 International Licence is a standard form licence agreement that does not permit any commercial use or derivatives of the original work. Under this licence: you may only distribute a verbatim copy of the work and must not adapt or change the work in any way. You must give appropriate credit and provide a link to the licence. You may do so in any reasonable manner, but not in any way that suggests the Commonwealth of Australia, States and Territories of Australia or Australian Building Codes Board endorses you or your use. You may not use the material for commercial purposes. If you remix, transform, or build upon the material for your own use, you may not distribute the modified material.</w:t>
      </w:r>
    </w:p>
    <w:p w14:paraId="71ACE601" w14:textId="77777777" w:rsidR="00E5159C" w:rsidRPr="006711B6" w:rsidRDefault="00E5159C" w:rsidP="00E5159C">
      <w:pPr>
        <w:pStyle w:val="CopyrightText"/>
        <w:jc w:val="left"/>
        <w:rPr>
          <w:sz w:val="18"/>
        </w:rPr>
      </w:pPr>
      <w:r w:rsidRPr="006711B6">
        <w:rPr>
          <w:sz w:val="18"/>
        </w:rPr>
        <w:t xml:space="preserve">The full licence terms are available from </w:t>
      </w:r>
      <w:hyperlink r:id="rId11" w:history="1">
        <w:r w:rsidRPr="006711B6">
          <w:rPr>
            <w:rStyle w:val="Hyperlink"/>
            <w:rFonts w:eastAsiaTheme="majorEastAsia"/>
            <w:sz w:val="18"/>
          </w:rPr>
          <w:t>http://creativecommons.org/licenses/by-nc-nd/4.0/legalcode</w:t>
        </w:r>
      </w:hyperlink>
      <w:r w:rsidRPr="006711B6">
        <w:rPr>
          <w:sz w:val="18"/>
        </w:rPr>
        <w:t>.</w:t>
      </w:r>
    </w:p>
    <w:p w14:paraId="1100983F" w14:textId="77777777" w:rsidR="00E5159C" w:rsidRPr="006711B6" w:rsidRDefault="00E5159C" w:rsidP="00E5159C">
      <w:pPr>
        <w:pStyle w:val="CopyrightText"/>
        <w:rPr>
          <w:sz w:val="18"/>
        </w:rPr>
      </w:pPr>
      <w:r w:rsidRPr="006711B6">
        <w:rPr>
          <w:sz w:val="18"/>
        </w:rPr>
        <w:t>Content contained herein should be attributed as:</w:t>
      </w:r>
    </w:p>
    <w:p w14:paraId="6EBD8B6F" w14:textId="6E14B876" w:rsidR="00564F99" w:rsidRDefault="00E5159C" w:rsidP="00E5159C">
      <w:pPr>
        <w:spacing w:after="0" w:line="240" w:lineRule="auto"/>
        <w:jc w:val="left"/>
        <w:rPr>
          <w:rFonts w:ascii="Times New Roman" w:eastAsia="Times New Roman" w:hAnsi="Times New Roman" w:cs="Times New Roman"/>
          <w:sz w:val="24"/>
          <w:szCs w:val="24"/>
          <w:lang w:eastAsia="en-AU"/>
        </w:rPr>
      </w:pPr>
      <w:r w:rsidRPr="006711B6">
        <w:rPr>
          <w:rFonts w:cs="Arial"/>
          <w:sz w:val="18"/>
        </w:rPr>
        <w:t>The Accessible Housing Options Paper</w:t>
      </w:r>
      <w:r w:rsidRPr="006711B6">
        <w:rPr>
          <w:rFonts w:cs="Arial"/>
          <w:position w:val="6"/>
          <w:sz w:val="18"/>
        </w:rPr>
        <w:t>©</w:t>
      </w:r>
      <w:r w:rsidRPr="006711B6">
        <w:rPr>
          <w:rFonts w:cs="Arial"/>
          <w:sz w:val="18"/>
        </w:rPr>
        <w:t xml:space="preserve"> as released by the Australian Building Codes Board Office on behalf of the Commonwealth of Australia and States and Territories of Australia</w:t>
      </w:r>
    </w:p>
    <w:p w14:paraId="5B699E80" w14:textId="77777777" w:rsidR="00E5159C" w:rsidRPr="00564F99" w:rsidRDefault="00E5159C" w:rsidP="00564F99">
      <w:pPr>
        <w:spacing w:after="0" w:line="240" w:lineRule="auto"/>
        <w:jc w:val="left"/>
        <w:rPr>
          <w:rFonts w:ascii="Times New Roman" w:eastAsia="Times New Roman" w:hAnsi="Times New Roman" w:cs="Times New Roman"/>
          <w:sz w:val="24"/>
          <w:szCs w:val="24"/>
          <w:lang w:eastAsia="en-AU"/>
        </w:rPr>
      </w:pPr>
    </w:p>
    <w:bookmarkEnd w:id="1"/>
    <w:p w14:paraId="644B66C3" w14:textId="77777777" w:rsidR="00E5159C" w:rsidRPr="005D53F4" w:rsidRDefault="00E5159C" w:rsidP="00E5159C">
      <w:pPr>
        <w:pStyle w:val="Heading-Legal"/>
      </w:pPr>
      <w:r w:rsidRPr="005D53F4">
        <w:t>Disclaimer</w:t>
      </w:r>
    </w:p>
    <w:p w14:paraId="3BB2324A" w14:textId="77777777" w:rsidR="00E5159C" w:rsidRPr="00E5159C" w:rsidRDefault="00E5159C" w:rsidP="00E5159C">
      <w:pPr>
        <w:pStyle w:val="DisclaimerText"/>
        <w:rPr>
          <w:sz w:val="20"/>
          <w:lang w:eastAsia="en-US"/>
        </w:rPr>
      </w:pPr>
      <w:r w:rsidRPr="00E5159C">
        <w:rPr>
          <w:sz w:val="20"/>
          <w:lang w:eastAsia="en-US"/>
        </w:rPr>
        <w:t>This Options Paper is intended to be used as guidance material only, and is in no way a substitute for the NCC and related State and Territory legislation.</w:t>
      </w:r>
    </w:p>
    <w:p w14:paraId="3E40067E" w14:textId="77777777" w:rsidR="00E5159C" w:rsidRPr="00E5159C" w:rsidRDefault="00E5159C" w:rsidP="00E5159C">
      <w:pPr>
        <w:pStyle w:val="DisclaimerText"/>
        <w:rPr>
          <w:sz w:val="20"/>
          <w:lang w:eastAsia="en-US"/>
        </w:rPr>
      </w:pPr>
      <w:r w:rsidRPr="00E5159C">
        <w:rPr>
          <w:sz w:val="20"/>
          <w:lang w:eastAsia="en-US"/>
        </w:rPr>
        <w:t>The Chief Executive Officer of the Australian Building Codes Board Office, as agent for the Commonwealth of Australia and States and Territories of Australia, does not accept any liability howsoever arising from or connected to the use or reliance on any information in this publication to the maximum extent permitted by law.</w:t>
      </w:r>
    </w:p>
    <w:p w14:paraId="3945DFCC" w14:textId="77777777" w:rsidR="00E5159C" w:rsidRPr="00E5159C" w:rsidRDefault="00E5159C" w:rsidP="00E5159C">
      <w:pPr>
        <w:pStyle w:val="DisclaimerText"/>
        <w:rPr>
          <w:sz w:val="20"/>
        </w:rPr>
      </w:pPr>
      <w:r w:rsidRPr="00E5159C">
        <w:rPr>
          <w:sz w:val="20"/>
          <w:lang w:eastAsia="en-US"/>
        </w:rPr>
        <w:t>The information in this publication is provided on the basis that all persons accessing the information undertake responsibility for assessing the relevance and accuracy of the information to their particular circumstances.</w:t>
      </w:r>
    </w:p>
    <w:p w14:paraId="48A76EA6" w14:textId="77777777" w:rsidR="00E5159C" w:rsidRPr="00E5159C" w:rsidRDefault="00E5159C" w:rsidP="00E5159C">
      <w:pPr>
        <w:pStyle w:val="ContactDetails"/>
        <w:rPr>
          <w:sz w:val="20"/>
        </w:rPr>
      </w:pPr>
      <w:r w:rsidRPr="00E5159C">
        <w:rPr>
          <w:sz w:val="20"/>
        </w:rPr>
        <w:t>Published by:</w:t>
      </w:r>
      <w:r w:rsidRPr="00E5159C">
        <w:rPr>
          <w:sz w:val="20"/>
        </w:rPr>
        <w:tab/>
        <w:t>Australian Building Codes Board</w:t>
      </w:r>
      <w:r w:rsidRPr="00E5159C">
        <w:rPr>
          <w:sz w:val="20"/>
        </w:rPr>
        <w:tab/>
        <w:t>First published: September 2018</w:t>
      </w:r>
      <w:r w:rsidRPr="00E5159C">
        <w:rPr>
          <w:sz w:val="20"/>
          <w:lang w:eastAsia="en-US"/>
        </w:rPr>
        <w:tab/>
        <w:t>GPO Box 2013</w:t>
      </w:r>
    </w:p>
    <w:p w14:paraId="5A4CB277" w14:textId="77777777" w:rsidR="00E5159C" w:rsidRPr="00E5159C" w:rsidRDefault="00E5159C" w:rsidP="00E5159C">
      <w:pPr>
        <w:pStyle w:val="ContactDetails"/>
        <w:rPr>
          <w:sz w:val="20"/>
        </w:rPr>
      </w:pPr>
      <w:r w:rsidRPr="00E5159C">
        <w:rPr>
          <w:sz w:val="20"/>
        </w:rPr>
        <w:tab/>
        <w:t>CANBERRA  ACT  2601</w:t>
      </w:r>
      <w:r w:rsidRPr="00E5159C">
        <w:rPr>
          <w:sz w:val="20"/>
        </w:rPr>
        <w:tab/>
        <w:t>Print version: 1</w:t>
      </w:r>
    </w:p>
    <w:p w14:paraId="4B67691B" w14:textId="77777777" w:rsidR="00E5159C" w:rsidRPr="00E5159C" w:rsidRDefault="00E5159C" w:rsidP="00E5159C">
      <w:pPr>
        <w:pStyle w:val="ContactDetails"/>
        <w:rPr>
          <w:sz w:val="20"/>
        </w:rPr>
      </w:pPr>
      <w:r w:rsidRPr="00E5159C">
        <w:rPr>
          <w:sz w:val="20"/>
        </w:rPr>
        <w:tab/>
        <w:t>Phone: 1300 134 631</w:t>
      </w:r>
      <w:r w:rsidRPr="00E5159C">
        <w:rPr>
          <w:sz w:val="20"/>
        </w:rPr>
        <w:tab/>
        <w:t>Release date: September 2018</w:t>
      </w:r>
      <w:r w:rsidRPr="00E5159C">
        <w:rPr>
          <w:sz w:val="20"/>
        </w:rPr>
        <w:tab/>
        <w:t xml:space="preserve">Email: </w:t>
      </w:r>
      <w:hyperlink r:id="rId12" w:history="1">
        <w:r w:rsidRPr="00E5159C">
          <w:rPr>
            <w:rStyle w:val="Hyperlink"/>
            <w:rFonts w:eastAsiaTheme="majorEastAsia"/>
            <w:sz w:val="20"/>
          </w:rPr>
          <w:t>ncc@abcb.gov.au</w:t>
        </w:r>
      </w:hyperlink>
    </w:p>
    <w:p w14:paraId="5937FD89" w14:textId="77777777" w:rsidR="00E5159C" w:rsidRPr="00E5159C" w:rsidRDefault="00E5159C" w:rsidP="00E5159C">
      <w:pPr>
        <w:pStyle w:val="ContactDetails"/>
        <w:rPr>
          <w:rStyle w:val="Hyperlink"/>
          <w:rFonts w:eastAsiaTheme="majorEastAsia"/>
          <w:sz w:val="20"/>
        </w:rPr>
      </w:pPr>
      <w:r w:rsidRPr="00E5159C">
        <w:rPr>
          <w:sz w:val="20"/>
        </w:rPr>
        <w:tab/>
      </w:r>
      <w:hyperlink r:id="rId13" w:history="1">
        <w:r w:rsidRPr="00E5159C">
          <w:rPr>
            <w:rStyle w:val="Hyperlink"/>
            <w:rFonts w:eastAsiaTheme="majorEastAsia"/>
            <w:sz w:val="20"/>
          </w:rPr>
          <w:t>www.abcb.gov.au</w:t>
        </w:r>
      </w:hyperlink>
    </w:p>
    <w:p w14:paraId="28C242FC" w14:textId="77777777" w:rsidR="00564F99" w:rsidRDefault="00564F99">
      <w:pPr>
        <w:jc w:val="left"/>
        <w:rPr>
          <w:rFonts w:asciiTheme="minorHAnsi" w:hAnsiTheme="minorHAnsi"/>
        </w:rPr>
      </w:pPr>
      <w:r>
        <w:rPr>
          <w:rFonts w:asciiTheme="minorHAnsi" w:hAnsiTheme="minorHAnsi"/>
          <w:b/>
          <w:bCs/>
        </w:rPr>
        <w:br w:type="page"/>
      </w:r>
    </w:p>
    <w:bookmarkStart w:id="2" w:name="_Toc525123757" w:displacedByCustomXml="next"/>
    <w:bookmarkStart w:id="3" w:name="_Toc520105216" w:displacedByCustomXml="next"/>
    <w:bookmarkStart w:id="4" w:name="_Toc515010826" w:displacedByCustomXml="next"/>
    <w:bookmarkStart w:id="5" w:name="_Toc513559442" w:displacedByCustomXml="next"/>
    <w:bookmarkStart w:id="6" w:name="_Toc513455266" w:displacedByCustomXml="next"/>
    <w:bookmarkStart w:id="7" w:name="_Toc512593507" w:displacedByCustomXml="next"/>
    <w:bookmarkStart w:id="8" w:name="_Toc512938330" w:displacedByCustomXml="next"/>
    <w:bookmarkStart w:id="9" w:name="_Toc517276538" w:displacedByCustomXml="next"/>
    <w:bookmarkStart w:id="10" w:name="_Toc521938382" w:displacedByCustomXml="next"/>
    <w:bookmarkStart w:id="11" w:name="_Toc522180972" w:displacedByCustomXml="next"/>
    <w:sdt>
      <w:sdtPr>
        <w:rPr>
          <w:rFonts w:asciiTheme="minorHAnsi" w:eastAsiaTheme="minorHAnsi" w:hAnsiTheme="minorHAnsi" w:cstheme="minorBidi"/>
          <w:b w:val="0"/>
          <w:bCs w:val="0"/>
          <w:color w:val="auto"/>
          <w:sz w:val="22"/>
          <w:szCs w:val="22"/>
        </w:rPr>
        <w:id w:val="1531755008"/>
        <w:docPartObj>
          <w:docPartGallery w:val="Table of Contents"/>
          <w:docPartUnique/>
        </w:docPartObj>
      </w:sdtPr>
      <w:sdtEndPr>
        <w:rPr>
          <w:rFonts w:ascii="Arial" w:hAnsi="Arial"/>
          <w:noProof/>
        </w:rPr>
      </w:sdtEndPr>
      <w:sdtContent>
        <w:p w14:paraId="6CC61F62" w14:textId="77777777" w:rsidR="00DE47F4" w:rsidRDefault="003A22A1" w:rsidP="008373A9">
          <w:pPr>
            <w:pStyle w:val="Heading1"/>
            <w:rPr>
              <w:noProof/>
            </w:rPr>
          </w:pPr>
          <w:r>
            <w:t>Contents</w:t>
          </w:r>
          <w:bookmarkEnd w:id="11"/>
          <w:bookmarkEnd w:id="10"/>
          <w:bookmarkEnd w:id="9"/>
          <w:bookmarkEnd w:id="8"/>
          <w:bookmarkEnd w:id="7"/>
          <w:bookmarkEnd w:id="6"/>
          <w:bookmarkEnd w:id="5"/>
          <w:bookmarkEnd w:id="4"/>
          <w:bookmarkEnd w:id="3"/>
          <w:bookmarkEnd w:id="2"/>
          <w:r w:rsidR="001827DD">
            <w:fldChar w:fldCharType="begin"/>
          </w:r>
          <w:r w:rsidR="001827DD">
            <w:instrText xml:space="preserve"> TOC \o "1-1" \h \z \u </w:instrText>
          </w:r>
          <w:r w:rsidR="001827DD">
            <w:fldChar w:fldCharType="separate"/>
          </w:r>
        </w:p>
        <w:p w14:paraId="589DD485" w14:textId="77777777" w:rsidR="00DE47F4" w:rsidRDefault="00FE3C57">
          <w:pPr>
            <w:pStyle w:val="TOC1"/>
            <w:tabs>
              <w:tab w:val="right" w:leader="dot" w:pos="9016"/>
            </w:tabs>
            <w:rPr>
              <w:rFonts w:asciiTheme="minorHAnsi" w:eastAsiaTheme="minorEastAsia" w:hAnsiTheme="minorHAnsi"/>
              <w:noProof/>
              <w:lang w:eastAsia="en-AU"/>
            </w:rPr>
          </w:pPr>
          <w:hyperlink w:anchor="_Toc525123758" w:history="1">
            <w:r w:rsidR="00DE47F4" w:rsidRPr="004468AE">
              <w:rPr>
                <w:rStyle w:val="Hyperlink"/>
                <w:noProof/>
              </w:rPr>
              <w:t>Introduction</w:t>
            </w:r>
            <w:r w:rsidR="00DE47F4">
              <w:rPr>
                <w:noProof/>
                <w:webHidden/>
              </w:rPr>
              <w:tab/>
            </w:r>
            <w:r w:rsidR="00DE47F4">
              <w:rPr>
                <w:noProof/>
                <w:webHidden/>
              </w:rPr>
              <w:fldChar w:fldCharType="begin"/>
            </w:r>
            <w:r w:rsidR="00DE47F4">
              <w:rPr>
                <w:noProof/>
                <w:webHidden/>
              </w:rPr>
              <w:instrText xml:space="preserve"> PAGEREF _Toc525123758 \h </w:instrText>
            </w:r>
            <w:r w:rsidR="00DE47F4">
              <w:rPr>
                <w:noProof/>
                <w:webHidden/>
              </w:rPr>
            </w:r>
            <w:r w:rsidR="00DE47F4">
              <w:rPr>
                <w:noProof/>
                <w:webHidden/>
              </w:rPr>
              <w:fldChar w:fldCharType="separate"/>
            </w:r>
            <w:r w:rsidR="00DE47F4">
              <w:rPr>
                <w:noProof/>
                <w:webHidden/>
              </w:rPr>
              <w:t>4</w:t>
            </w:r>
            <w:r w:rsidR="00DE47F4">
              <w:rPr>
                <w:noProof/>
                <w:webHidden/>
              </w:rPr>
              <w:fldChar w:fldCharType="end"/>
            </w:r>
          </w:hyperlink>
        </w:p>
        <w:p w14:paraId="39EED778" w14:textId="77777777" w:rsidR="00DE47F4" w:rsidRDefault="00FE3C57">
          <w:pPr>
            <w:pStyle w:val="TOC1"/>
            <w:tabs>
              <w:tab w:val="right" w:leader="dot" w:pos="9016"/>
            </w:tabs>
            <w:rPr>
              <w:rFonts w:asciiTheme="minorHAnsi" w:eastAsiaTheme="minorEastAsia" w:hAnsiTheme="minorHAnsi"/>
              <w:noProof/>
              <w:lang w:eastAsia="en-AU"/>
            </w:rPr>
          </w:pPr>
          <w:hyperlink w:anchor="_Toc525123759" w:history="1">
            <w:r w:rsidR="00DE47F4" w:rsidRPr="004468AE">
              <w:rPr>
                <w:rStyle w:val="Hyperlink"/>
                <w:noProof/>
              </w:rPr>
              <w:t>Background</w:t>
            </w:r>
            <w:r w:rsidR="00DE47F4">
              <w:rPr>
                <w:noProof/>
                <w:webHidden/>
              </w:rPr>
              <w:tab/>
            </w:r>
            <w:r w:rsidR="00DE47F4">
              <w:rPr>
                <w:noProof/>
                <w:webHidden/>
              </w:rPr>
              <w:fldChar w:fldCharType="begin"/>
            </w:r>
            <w:r w:rsidR="00DE47F4">
              <w:rPr>
                <w:noProof/>
                <w:webHidden/>
              </w:rPr>
              <w:instrText xml:space="preserve"> PAGEREF _Toc525123759 \h </w:instrText>
            </w:r>
            <w:r w:rsidR="00DE47F4">
              <w:rPr>
                <w:noProof/>
                <w:webHidden/>
              </w:rPr>
            </w:r>
            <w:r w:rsidR="00DE47F4">
              <w:rPr>
                <w:noProof/>
                <w:webHidden/>
              </w:rPr>
              <w:fldChar w:fldCharType="separate"/>
            </w:r>
            <w:r w:rsidR="00DE47F4">
              <w:rPr>
                <w:noProof/>
                <w:webHidden/>
              </w:rPr>
              <w:t>5</w:t>
            </w:r>
            <w:r w:rsidR="00DE47F4">
              <w:rPr>
                <w:noProof/>
                <w:webHidden/>
              </w:rPr>
              <w:fldChar w:fldCharType="end"/>
            </w:r>
          </w:hyperlink>
        </w:p>
        <w:p w14:paraId="1ACCF8AD" w14:textId="77777777" w:rsidR="00DE47F4" w:rsidRDefault="00FE3C57">
          <w:pPr>
            <w:pStyle w:val="TOC1"/>
            <w:tabs>
              <w:tab w:val="right" w:leader="dot" w:pos="9016"/>
            </w:tabs>
            <w:rPr>
              <w:rFonts w:asciiTheme="minorHAnsi" w:eastAsiaTheme="minorEastAsia" w:hAnsiTheme="minorHAnsi"/>
              <w:noProof/>
              <w:lang w:eastAsia="en-AU"/>
            </w:rPr>
          </w:pPr>
          <w:hyperlink w:anchor="_Toc525123760" w:history="1">
            <w:r w:rsidR="00DE47F4" w:rsidRPr="004468AE">
              <w:rPr>
                <w:rStyle w:val="Hyperlink"/>
                <w:noProof/>
              </w:rPr>
              <w:t>Current Situation</w:t>
            </w:r>
            <w:r w:rsidR="00DE47F4">
              <w:rPr>
                <w:noProof/>
                <w:webHidden/>
              </w:rPr>
              <w:tab/>
            </w:r>
            <w:r w:rsidR="00DE47F4">
              <w:rPr>
                <w:noProof/>
                <w:webHidden/>
              </w:rPr>
              <w:fldChar w:fldCharType="begin"/>
            </w:r>
            <w:r w:rsidR="00DE47F4">
              <w:rPr>
                <w:noProof/>
                <w:webHidden/>
              </w:rPr>
              <w:instrText xml:space="preserve"> PAGEREF _Toc525123760 \h </w:instrText>
            </w:r>
            <w:r w:rsidR="00DE47F4">
              <w:rPr>
                <w:noProof/>
                <w:webHidden/>
              </w:rPr>
            </w:r>
            <w:r w:rsidR="00DE47F4">
              <w:rPr>
                <w:noProof/>
                <w:webHidden/>
              </w:rPr>
              <w:fldChar w:fldCharType="separate"/>
            </w:r>
            <w:r w:rsidR="00DE47F4">
              <w:rPr>
                <w:noProof/>
                <w:webHidden/>
              </w:rPr>
              <w:t>6</w:t>
            </w:r>
            <w:r w:rsidR="00DE47F4">
              <w:rPr>
                <w:noProof/>
                <w:webHidden/>
              </w:rPr>
              <w:fldChar w:fldCharType="end"/>
            </w:r>
          </w:hyperlink>
        </w:p>
        <w:p w14:paraId="446CD5C5" w14:textId="77777777" w:rsidR="00DE47F4" w:rsidRDefault="00FE3C57">
          <w:pPr>
            <w:pStyle w:val="TOC1"/>
            <w:tabs>
              <w:tab w:val="right" w:leader="dot" w:pos="9016"/>
            </w:tabs>
            <w:rPr>
              <w:rFonts w:asciiTheme="minorHAnsi" w:eastAsiaTheme="minorEastAsia" w:hAnsiTheme="minorHAnsi"/>
              <w:noProof/>
              <w:lang w:eastAsia="en-AU"/>
            </w:rPr>
          </w:pPr>
          <w:hyperlink w:anchor="_Toc525123761" w:history="1">
            <w:r w:rsidR="00DE47F4" w:rsidRPr="004468AE">
              <w:rPr>
                <w:rStyle w:val="Hyperlink"/>
                <w:noProof/>
              </w:rPr>
              <w:t>Identifying the Problem</w:t>
            </w:r>
            <w:r w:rsidR="00DE47F4">
              <w:rPr>
                <w:noProof/>
                <w:webHidden/>
              </w:rPr>
              <w:tab/>
            </w:r>
            <w:r w:rsidR="00DE47F4">
              <w:rPr>
                <w:noProof/>
                <w:webHidden/>
              </w:rPr>
              <w:fldChar w:fldCharType="begin"/>
            </w:r>
            <w:r w:rsidR="00DE47F4">
              <w:rPr>
                <w:noProof/>
                <w:webHidden/>
              </w:rPr>
              <w:instrText xml:space="preserve"> PAGEREF _Toc525123761 \h </w:instrText>
            </w:r>
            <w:r w:rsidR="00DE47F4">
              <w:rPr>
                <w:noProof/>
                <w:webHidden/>
              </w:rPr>
            </w:r>
            <w:r w:rsidR="00DE47F4">
              <w:rPr>
                <w:noProof/>
                <w:webHidden/>
              </w:rPr>
              <w:fldChar w:fldCharType="separate"/>
            </w:r>
            <w:r w:rsidR="00DE47F4">
              <w:rPr>
                <w:noProof/>
                <w:webHidden/>
              </w:rPr>
              <w:t>10</w:t>
            </w:r>
            <w:r w:rsidR="00DE47F4">
              <w:rPr>
                <w:noProof/>
                <w:webHidden/>
              </w:rPr>
              <w:fldChar w:fldCharType="end"/>
            </w:r>
          </w:hyperlink>
        </w:p>
        <w:p w14:paraId="1E51C700" w14:textId="77777777" w:rsidR="00DE47F4" w:rsidRDefault="00FE3C57">
          <w:pPr>
            <w:pStyle w:val="TOC1"/>
            <w:tabs>
              <w:tab w:val="right" w:leader="dot" w:pos="9016"/>
            </w:tabs>
            <w:rPr>
              <w:rFonts w:asciiTheme="minorHAnsi" w:eastAsiaTheme="minorEastAsia" w:hAnsiTheme="minorHAnsi"/>
              <w:noProof/>
              <w:lang w:eastAsia="en-AU"/>
            </w:rPr>
          </w:pPr>
          <w:hyperlink w:anchor="_Toc525123762" w:history="1">
            <w:r w:rsidR="00DE47F4" w:rsidRPr="004468AE">
              <w:rPr>
                <w:rStyle w:val="Hyperlink"/>
                <w:noProof/>
              </w:rPr>
              <w:t>Objective</w:t>
            </w:r>
            <w:r w:rsidR="00DE47F4">
              <w:rPr>
                <w:noProof/>
                <w:webHidden/>
              </w:rPr>
              <w:tab/>
            </w:r>
            <w:r w:rsidR="00DE47F4">
              <w:rPr>
                <w:noProof/>
                <w:webHidden/>
              </w:rPr>
              <w:fldChar w:fldCharType="begin"/>
            </w:r>
            <w:r w:rsidR="00DE47F4">
              <w:rPr>
                <w:noProof/>
                <w:webHidden/>
              </w:rPr>
              <w:instrText xml:space="preserve"> PAGEREF _Toc525123762 \h </w:instrText>
            </w:r>
            <w:r w:rsidR="00DE47F4">
              <w:rPr>
                <w:noProof/>
                <w:webHidden/>
              </w:rPr>
            </w:r>
            <w:r w:rsidR="00DE47F4">
              <w:rPr>
                <w:noProof/>
                <w:webHidden/>
              </w:rPr>
              <w:fldChar w:fldCharType="separate"/>
            </w:r>
            <w:r w:rsidR="00DE47F4">
              <w:rPr>
                <w:noProof/>
                <w:webHidden/>
              </w:rPr>
              <w:t>13</w:t>
            </w:r>
            <w:r w:rsidR="00DE47F4">
              <w:rPr>
                <w:noProof/>
                <w:webHidden/>
              </w:rPr>
              <w:fldChar w:fldCharType="end"/>
            </w:r>
          </w:hyperlink>
        </w:p>
        <w:p w14:paraId="424C1C13" w14:textId="77777777" w:rsidR="00DE47F4" w:rsidRDefault="00FE3C57">
          <w:pPr>
            <w:pStyle w:val="TOC1"/>
            <w:tabs>
              <w:tab w:val="right" w:leader="dot" w:pos="9016"/>
            </w:tabs>
            <w:rPr>
              <w:rFonts w:asciiTheme="minorHAnsi" w:eastAsiaTheme="minorEastAsia" w:hAnsiTheme="minorHAnsi"/>
              <w:noProof/>
              <w:lang w:eastAsia="en-AU"/>
            </w:rPr>
          </w:pPr>
          <w:hyperlink w:anchor="_Toc525123763" w:history="1">
            <w:r w:rsidR="00DE47F4" w:rsidRPr="004468AE">
              <w:rPr>
                <w:rStyle w:val="Hyperlink"/>
                <w:noProof/>
              </w:rPr>
              <w:t>An Accessibility Standard for Housing</w:t>
            </w:r>
            <w:r w:rsidR="00DE47F4">
              <w:rPr>
                <w:noProof/>
                <w:webHidden/>
              </w:rPr>
              <w:tab/>
            </w:r>
            <w:r w:rsidR="00DE47F4">
              <w:rPr>
                <w:noProof/>
                <w:webHidden/>
              </w:rPr>
              <w:fldChar w:fldCharType="begin"/>
            </w:r>
            <w:r w:rsidR="00DE47F4">
              <w:rPr>
                <w:noProof/>
                <w:webHidden/>
              </w:rPr>
              <w:instrText xml:space="preserve"> PAGEREF _Toc525123763 \h </w:instrText>
            </w:r>
            <w:r w:rsidR="00DE47F4">
              <w:rPr>
                <w:noProof/>
                <w:webHidden/>
              </w:rPr>
            </w:r>
            <w:r w:rsidR="00DE47F4">
              <w:rPr>
                <w:noProof/>
                <w:webHidden/>
              </w:rPr>
              <w:fldChar w:fldCharType="separate"/>
            </w:r>
            <w:r w:rsidR="00DE47F4">
              <w:rPr>
                <w:noProof/>
                <w:webHidden/>
              </w:rPr>
              <w:t>15</w:t>
            </w:r>
            <w:r w:rsidR="00DE47F4">
              <w:rPr>
                <w:noProof/>
                <w:webHidden/>
              </w:rPr>
              <w:fldChar w:fldCharType="end"/>
            </w:r>
          </w:hyperlink>
        </w:p>
        <w:p w14:paraId="7CDDCCE8" w14:textId="77777777" w:rsidR="00DE47F4" w:rsidRDefault="00FE3C57">
          <w:pPr>
            <w:pStyle w:val="TOC1"/>
            <w:tabs>
              <w:tab w:val="right" w:leader="dot" w:pos="9016"/>
            </w:tabs>
            <w:rPr>
              <w:rFonts w:asciiTheme="minorHAnsi" w:eastAsiaTheme="minorEastAsia" w:hAnsiTheme="minorHAnsi"/>
              <w:noProof/>
              <w:lang w:eastAsia="en-AU"/>
            </w:rPr>
          </w:pPr>
          <w:hyperlink w:anchor="_Toc525123764" w:history="1">
            <w:r w:rsidR="00DE47F4" w:rsidRPr="004468AE">
              <w:rPr>
                <w:rStyle w:val="Hyperlink"/>
                <w:noProof/>
              </w:rPr>
              <w:t>Possible Options for NCC Amendment</w:t>
            </w:r>
            <w:r w:rsidR="00DE47F4">
              <w:rPr>
                <w:noProof/>
                <w:webHidden/>
              </w:rPr>
              <w:tab/>
            </w:r>
            <w:r w:rsidR="00DE47F4">
              <w:rPr>
                <w:noProof/>
                <w:webHidden/>
              </w:rPr>
              <w:fldChar w:fldCharType="begin"/>
            </w:r>
            <w:r w:rsidR="00DE47F4">
              <w:rPr>
                <w:noProof/>
                <w:webHidden/>
              </w:rPr>
              <w:instrText xml:space="preserve"> PAGEREF _Toc525123764 \h </w:instrText>
            </w:r>
            <w:r w:rsidR="00DE47F4">
              <w:rPr>
                <w:noProof/>
                <w:webHidden/>
              </w:rPr>
            </w:r>
            <w:r w:rsidR="00DE47F4">
              <w:rPr>
                <w:noProof/>
                <w:webHidden/>
              </w:rPr>
              <w:fldChar w:fldCharType="separate"/>
            </w:r>
            <w:r w:rsidR="00DE47F4">
              <w:rPr>
                <w:noProof/>
                <w:webHidden/>
              </w:rPr>
              <w:t>17</w:t>
            </w:r>
            <w:r w:rsidR="00DE47F4">
              <w:rPr>
                <w:noProof/>
                <w:webHidden/>
              </w:rPr>
              <w:fldChar w:fldCharType="end"/>
            </w:r>
          </w:hyperlink>
        </w:p>
        <w:p w14:paraId="640ACF79" w14:textId="77777777" w:rsidR="00DE47F4" w:rsidRDefault="00FE3C57">
          <w:pPr>
            <w:pStyle w:val="TOC1"/>
            <w:tabs>
              <w:tab w:val="right" w:leader="dot" w:pos="9016"/>
            </w:tabs>
            <w:rPr>
              <w:rFonts w:asciiTheme="minorHAnsi" w:eastAsiaTheme="minorEastAsia" w:hAnsiTheme="minorHAnsi"/>
              <w:noProof/>
              <w:lang w:eastAsia="en-AU"/>
            </w:rPr>
          </w:pPr>
          <w:hyperlink w:anchor="_Toc525123765" w:history="1">
            <w:r w:rsidR="00DE47F4" w:rsidRPr="004468AE">
              <w:rPr>
                <w:rStyle w:val="Hyperlink"/>
                <w:noProof/>
              </w:rPr>
              <w:t>Quantification</w:t>
            </w:r>
            <w:r w:rsidR="00DE47F4">
              <w:rPr>
                <w:noProof/>
                <w:webHidden/>
              </w:rPr>
              <w:tab/>
            </w:r>
            <w:r w:rsidR="00DE47F4">
              <w:rPr>
                <w:noProof/>
                <w:webHidden/>
              </w:rPr>
              <w:fldChar w:fldCharType="begin"/>
            </w:r>
            <w:r w:rsidR="00DE47F4">
              <w:rPr>
                <w:noProof/>
                <w:webHidden/>
              </w:rPr>
              <w:instrText xml:space="preserve"> PAGEREF _Toc525123765 \h </w:instrText>
            </w:r>
            <w:r w:rsidR="00DE47F4">
              <w:rPr>
                <w:noProof/>
                <w:webHidden/>
              </w:rPr>
            </w:r>
            <w:r w:rsidR="00DE47F4">
              <w:rPr>
                <w:noProof/>
                <w:webHidden/>
              </w:rPr>
              <w:fldChar w:fldCharType="separate"/>
            </w:r>
            <w:r w:rsidR="00DE47F4">
              <w:rPr>
                <w:noProof/>
                <w:webHidden/>
              </w:rPr>
              <w:t>22</w:t>
            </w:r>
            <w:r w:rsidR="00DE47F4">
              <w:rPr>
                <w:noProof/>
                <w:webHidden/>
              </w:rPr>
              <w:fldChar w:fldCharType="end"/>
            </w:r>
          </w:hyperlink>
        </w:p>
        <w:p w14:paraId="0DC64414" w14:textId="77777777" w:rsidR="00DE47F4" w:rsidRDefault="00FE3C57">
          <w:pPr>
            <w:pStyle w:val="TOC1"/>
            <w:tabs>
              <w:tab w:val="right" w:leader="dot" w:pos="9016"/>
            </w:tabs>
            <w:rPr>
              <w:rFonts w:asciiTheme="minorHAnsi" w:eastAsiaTheme="minorEastAsia" w:hAnsiTheme="minorHAnsi"/>
              <w:noProof/>
              <w:lang w:eastAsia="en-AU"/>
            </w:rPr>
          </w:pPr>
          <w:hyperlink w:anchor="_Toc525123766" w:history="1">
            <w:r w:rsidR="00DE47F4" w:rsidRPr="004468AE">
              <w:rPr>
                <w:rStyle w:val="Hyperlink"/>
                <w:noProof/>
              </w:rPr>
              <w:t>Application</w:t>
            </w:r>
            <w:r w:rsidR="00DE47F4">
              <w:rPr>
                <w:noProof/>
                <w:webHidden/>
              </w:rPr>
              <w:tab/>
            </w:r>
            <w:r w:rsidR="00DE47F4">
              <w:rPr>
                <w:noProof/>
                <w:webHidden/>
              </w:rPr>
              <w:fldChar w:fldCharType="begin"/>
            </w:r>
            <w:r w:rsidR="00DE47F4">
              <w:rPr>
                <w:noProof/>
                <w:webHidden/>
              </w:rPr>
              <w:instrText xml:space="preserve"> PAGEREF _Toc525123766 \h </w:instrText>
            </w:r>
            <w:r w:rsidR="00DE47F4">
              <w:rPr>
                <w:noProof/>
                <w:webHidden/>
              </w:rPr>
            </w:r>
            <w:r w:rsidR="00DE47F4">
              <w:rPr>
                <w:noProof/>
                <w:webHidden/>
              </w:rPr>
              <w:fldChar w:fldCharType="separate"/>
            </w:r>
            <w:r w:rsidR="00DE47F4">
              <w:rPr>
                <w:noProof/>
                <w:webHidden/>
              </w:rPr>
              <w:t>23</w:t>
            </w:r>
            <w:r w:rsidR="00DE47F4">
              <w:rPr>
                <w:noProof/>
                <w:webHidden/>
              </w:rPr>
              <w:fldChar w:fldCharType="end"/>
            </w:r>
          </w:hyperlink>
        </w:p>
        <w:p w14:paraId="0A2E750E" w14:textId="77777777" w:rsidR="00DE47F4" w:rsidRDefault="00FE3C57">
          <w:pPr>
            <w:pStyle w:val="TOC1"/>
            <w:tabs>
              <w:tab w:val="right" w:leader="dot" w:pos="9016"/>
            </w:tabs>
            <w:rPr>
              <w:rFonts w:asciiTheme="minorHAnsi" w:eastAsiaTheme="minorEastAsia" w:hAnsiTheme="minorHAnsi"/>
              <w:noProof/>
              <w:lang w:eastAsia="en-AU"/>
            </w:rPr>
          </w:pPr>
          <w:hyperlink w:anchor="_Toc525123767" w:history="1">
            <w:r w:rsidR="00DE47F4" w:rsidRPr="004468AE">
              <w:rPr>
                <w:rStyle w:val="Hyperlink"/>
                <w:noProof/>
              </w:rPr>
              <w:t>Preliminary Costings—New Buildings</w:t>
            </w:r>
            <w:r w:rsidR="00DE47F4">
              <w:rPr>
                <w:noProof/>
                <w:webHidden/>
              </w:rPr>
              <w:tab/>
            </w:r>
            <w:r w:rsidR="00DE47F4">
              <w:rPr>
                <w:noProof/>
                <w:webHidden/>
              </w:rPr>
              <w:fldChar w:fldCharType="begin"/>
            </w:r>
            <w:r w:rsidR="00DE47F4">
              <w:rPr>
                <w:noProof/>
                <w:webHidden/>
              </w:rPr>
              <w:instrText xml:space="preserve"> PAGEREF _Toc525123767 \h </w:instrText>
            </w:r>
            <w:r w:rsidR="00DE47F4">
              <w:rPr>
                <w:noProof/>
                <w:webHidden/>
              </w:rPr>
            </w:r>
            <w:r w:rsidR="00DE47F4">
              <w:rPr>
                <w:noProof/>
                <w:webHidden/>
              </w:rPr>
              <w:fldChar w:fldCharType="separate"/>
            </w:r>
            <w:r w:rsidR="00DE47F4">
              <w:rPr>
                <w:noProof/>
                <w:webHidden/>
              </w:rPr>
              <w:t>25</w:t>
            </w:r>
            <w:r w:rsidR="00DE47F4">
              <w:rPr>
                <w:noProof/>
                <w:webHidden/>
              </w:rPr>
              <w:fldChar w:fldCharType="end"/>
            </w:r>
          </w:hyperlink>
        </w:p>
        <w:p w14:paraId="334D5FFF" w14:textId="77777777" w:rsidR="00DE47F4" w:rsidRDefault="00FE3C57">
          <w:pPr>
            <w:pStyle w:val="TOC1"/>
            <w:tabs>
              <w:tab w:val="right" w:leader="dot" w:pos="9016"/>
            </w:tabs>
            <w:rPr>
              <w:rFonts w:asciiTheme="minorHAnsi" w:eastAsiaTheme="minorEastAsia" w:hAnsiTheme="minorHAnsi"/>
              <w:noProof/>
              <w:lang w:eastAsia="en-AU"/>
            </w:rPr>
          </w:pPr>
          <w:hyperlink w:anchor="_Toc525123768" w:history="1">
            <w:r w:rsidR="00DE47F4" w:rsidRPr="004468AE">
              <w:rPr>
                <w:rStyle w:val="Hyperlink"/>
                <w:noProof/>
              </w:rPr>
              <w:t>Preliminary Costings—Retrofitting</w:t>
            </w:r>
            <w:r w:rsidR="00DE47F4">
              <w:rPr>
                <w:noProof/>
                <w:webHidden/>
              </w:rPr>
              <w:tab/>
            </w:r>
            <w:r w:rsidR="00DE47F4">
              <w:rPr>
                <w:noProof/>
                <w:webHidden/>
              </w:rPr>
              <w:fldChar w:fldCharType="begin"/>
            </w:r>
            <w:r w:rsidR="00DE47F4">
              <w:rPr>
                <w:noProof/>
                <w:webHidden/>
              </w:rPr>
              <w:instrText xml:space="preserve"> PAGEREF _Toc525123768 \h </w:instrText>
            </w:r>
            <w:r w:rsidR="00DE47F4">
              <w:rPr>
                <w:noProof/>
                <w:webHidden/>
              </w:rPr>
            </w:r>
            <w:r w:rsidR="00DE47F4">
              <w:rPr>
                <w:noProof/>
                <w:webHidden/>
              </w:rPr>
              <w:fldChar w:fldCharType="separate"/>
            </w:r>
            <w:r w:rsidR="00DE47F4">
              <w:rPr>
                <w:noProof/>
                <w:webHidden/>
              </w:rPr>
              <w:t>28</w:t>
            </w:r>
            <w:r w:rsidR="00DE47F4">
              <w:rPr>
                <w:noProof/>
                <w:webHidden/>
              </w:rPr>
              <w:fldChar w:fldCharType="end"/>
            </w:r>
          </w:hyperlink>
        </w:p>
        <w:p w14:paraId="3A687F2C" w14:textId="77777777" w:rsidR="00DE47F4" w:rsidRDefault="00FE3C57">
          <w:pPr>
            <w:pStyle w:val="TOC1"/>
            <w:tabs>
              <w:tab w:val="right" w:leader="dot" w:pos="9016"/>
            </w:tabs>
            <w:rPr>
              <w:rFonts w:asciiTheme="minorHAnsi" w:eastAsiaTheme="minorEastAsia" w:hAnsiTheme="minorHAnsi"/>
              <w:noProof/>
              <w:lang w:eastAsia="en-AU"/>
            </w:rPr>
          </w:pPr>
          <w:hyperlink w:anchor="_Toc525123769" w:history="1">
            <w:r w:rsidR="00DE47F4" w:rsidRPr="004468AE">
              <w:rPr>
                <w:rStyle w:val="Hyperlink"/>
                <w:noProof/>
              </w:rPr>
              <w:t>Consultation</w:t>
            </w:r>
            <w:r w:rsidR="00DE47F4">
              <w:rPr>
                <w:noProof/>
                <w:webHidden/>
              </w:rPr>
              <w:tab/>
            </w:r>
            <w:r w:rsidR="00DE47F4">
              <w:rPr>
                <w:noProof/>
                <w:webHidden/>
              </w:rPr>
              <w:fldChar w:fldCharType="begin"/>
            </w:r>
            <w:r w:rsidR="00DE47F4">
              <w:rPr>
                <w:noProof/>
                <w:webHidden/>
              </w:rPr>
              <w:instrText xml:space="preserve"> PAGEREF _Toc525123769 \h </w:instrText>
            </w:r>
            <w:r w:rsidR="00DE47F4">
              <w:rPr>
                <w:noProof/>
                <w:webHidden/>
              </w:rPr>
            </w:r>
            <w:r w:rsidR="00DE47F4">
              <w:rPr>
                <w:noProof/>
                <w:webHidden/>
              </w:rPr>
              <w:fldChar w:fldCharType="separate"/>
            </w:r>
            <w:r w:rsidR="00DE47F4">
              <w:rPr>
                <w:noProof/>
                <w:webHidden/>
              </w:rPr>
              <w:t>29</w:t>
            </w:r>
            <w:r w:rsidR="00DE47F4">
              <w:rPr>
                <w:noProof/>
                <w:webHidden/>
              </w:rPr>
              <w:fldChar w:fldCharType="end"/>
            </w:r>
          </w:hyperlink>
        </w:p>
        <w:p w14:paraId="55E3840A" w14:textId="77777777" w:rsidR="00DE47F4" w:rsidRDefault="00FE3C57">
          <w:pPr>
            <w:pStyle w:val="TOC1"/>
            <w:tabs>
              <w:tab w:val="right" w:leader="dot" w:pos="9016"/>
            </w:tabs>
            <w:rPr>
              <w:rFonts w:asciiTheme="minorHAnsi" w:eastAsiaTheme="minorEastAsia" w:hAnsiTheme="minorHAnsi"/>
              <w:noProof/>
              <w:lang w:eastAsia="en-AU"/>
            </w:rPr>
          </w:pPr>
          <w:hyperlink w:anchor="_Toc525123770" w:history="1">
            <w:r w:rsidR="00DE47F4" w:rsidRPr="004468AE">
              <w:rPr>
                <w:rStyle w:val="Hyperlink"/>
                <w:noProof/>
              </w:rPr>
              <w:t>Next Steps</w:t>
            </w:r>
            <w:r w:rsidR="00DE47F4">
              <w:rPr>
                <w:noProof/>
                <w:webHidden/>
              </w:rPr>
              <w:tab/>
            </w:r>
            <w:r w:rsidR="00DE47F4">
              <w:rPr>
                <w:noProof/>
                <w:webHidden/>
              </w:rPr>
              <w:fldChar w:fldCharType="begin"/>
            </w:r>
            <w:r w:rsidR="00DE47F4">
              <w:rPr>
                <w:noProof/>
                <w:webHidden/>
              </w:rPr>
              <w:instrText xml:space="preserve"> PAGEREF _Toc525123770 \h </w:instrText>
            </w:r>
            <w:r w:rsidR="00DE47F4">
              <w:rPr>
                <w:noProof/>
                <w:webHidden/>
              </w:rPr>
            </w:r>
            <w:r w:rsidR="00DE47F4">
              <w:rPr>
                <w:noProof/>
                <w:webHidden/>
              </w:rPr>
              <w:fldChar w:fldCharType="separate"/>
            </w:r>
            <w:r w:rsidR="00DE47F4">
              <w:rPr>
                <w:noProof/>
                <w:webHidden/>
              </w:rPr>
              <w:t>31</w:t>
            </w:r>
            <w:r w:rsidR="00DE47F4">
              <w:rPr>
                <w:noProof/>
                <w:webHidden/>
              </w:rPr>
              <w:fldChar w:fldCharType="end"/>
            </w:r>
          </w:hyperlink>
        </w:p>
        <w:p w14:paraId="144D514C" w14:textId="77777777" w:rsidR="00DE47F4" w:rsidRDefault="00FE3C57">
          <w:pPr>
            <w:pStyle w:val="TOC1"/>
            <w:tabs>
              <w:tab w:val="right" w:leader="dot" w:pos="9016"/>
            </w:tabs>
            <w:rPr>
              <w:rFonts w:asciiTheme="minorHAnsi" w:eastAsiaTheme="minorEastAsia" w:hAnsiTheme="minorHAnsi"/>
              <w:noProof/>
              <w:lang w:eastAsia="en-AU"/>
            </w:rPr>
          </w:pPr>
          <w:hyperlink w:anchor="_Toc525123771" w:history="1">
            <w:r w:rsidR="00DE47F4" w:rsidRPr="004468AE">
              <w:rPr>
                <w:rStyle w:val="Hyperlink"/>
                <w:noProof/>
              </w:rPr>
              <w:t>Appendix A – Weighted Average Cost Scenarios</w:t>
            </w:r>
            <w:r w:rsidR="00DE47F4">
              <w:rPr>
                <w:noProof/>
                <w:webHidden/>
              </w:rPr>
              <w:tab/>
            </w:r>
            <w:r w:rsidR="00DE47F4">
              <w:rPr>
                <w:noProof/>
                <w:webHidden/>
              </w:rPr>
              <w:fldChar w:fldCharType="begin"/>
            </w:r>
            <w:r w:rsidR="00DE47F4">
              <w:rPr>
                <w:noProof/>
                <w:webHidden/>
              </w:rPr>
              <w:instrText xml:space="preserve"> PAGEREF _Toc525123771 \h </w:instrText>
            </w:r>
            <w:r w:rsidR="00DE47F4">
              <w:rPr>
                <w:noProof/>
                <w:webHidden/>
              </w:rPr>
            </w:r>
            <w:r w:rsidR="00DE47F4">
              <w:rPr>
                <w:noProof/>
                <w:webHidden/>
              </w:rPr>
              <w:fldChar w:fldCharType="separate"/>
            </w:r>
            <w:r w:rsidR="00DE47F4">
              <w:rPr>
                <w:noProof/>
                <w:webHidden/>
              </w:rPr>
              <w:t>33</w:t>
            </w:r>
            <w:r w:rsidR="00DE47F4">
              <w:rPr>
                <w:noProof/>
                <w:webHidden/>
              </w:rPr>
              <w:fldChar w:fldCharType="end"/>
            </w:r>
          </w:hyperlink>
        </w:p>
        <w:p w14:paraId="75348608" w14:textId="77777777" w:rsidR="00DE47F4" w:rsidRDefault="00FE3C57">
          <w:pPr>
            <w:pStyle w:val="TOC1"/>
            <w:tabs>
              <w:tab w:val="right" w:leader="dot" w:pos="9016"/>
            </w:tabs>
            <w:rPr>
              <w:rFonts w:asciiTheme="minorHAnsi" w:eastAsiaTheme="minorEastAsia" w:hAnsiTheme="minorHAnsi"/>
              <w:noProof/>
              <w:lang w:eastAsia="en-AU"/>
            </w:rPr>
          </w:pPr>
          <w:hyperlink w:anchor="_Toc525123772" w:history="1">
            <w:r w:rsidR="00DE47F4" w:rsidRPr="004468AE">
              <w:rPr>
                <w:rStyle w:val="Hyperlink"/>
                <w:noProof/>
              </w:rPr>
              <w:t>Appendix B – Building Classifications</w:t>
            </w:r>
            <w:r w:rsidR="00DE47F4">
              <w:rPr>
                <w:noProof/>
                <w:webHidden/>
              </w:rPr>
              <w:tab/>
            </w:r>
            <w:r w:rsidR="00DE47F4">
              <w:rPr>
                <w:noProof/>
                <w:webHidden/>
              </w:rPr>
              <w:fldChar w:fldCharType="begin"/>
            </w:r>
            <w:r w:rsidR="00DE47F4">
              <w:rPr>
                <w:noProof/>
                <w:webHidden/>
              </w:rPr>
              <w:instrText xml:space="preserve"> PAGEREF _Toc525123772 \h </w:instrText>
            </w:r>
            <w:r w:rsidR="00DE47F4">
              <w:rPr>
                <w:noProof/>
                <w:webHidden/>
              </w:rPr>
            </w:r>
            <w:r w:rsidR="00DE47F4">
              <w:rPr>
                <w:noProof/>
                <w:webHidden/>
              </w:rPr>
              <w:fldChar w:fldCharType="separate"/>
            </w:r>
            <w:r w:rsidR="00DE47F4">
              <w:rPr>
                <w:noProof/>
                <w:webHidden/>
              </w:rPr>
              <w:t>38</w:t>
            </w:r>
            <w:r w:rsidR="00DE47F4">
              <w:rPr>
                <w:noProof/>
                <w:webHidden/>
              </w:rPr>
              <w:fldChar w:fldCharType="end"/>
            </w:r>
          </w:hyperlink>
        </w:p>
        <w:p w14:paraId="7B06CE4C" w14:textId="77777777" w:rsidR="00DE47F4" w:rsidRDefault="00FE3C57">
          <w:pPr>
            <w:pStyle w:val="TOC1"/>
            <w:tabs>
              <w:tab w:val="right" w:leader="dot" w:pos="9016"/>
            </w:tabs>
            <w:rPr>
              <w:rFonts w:asciiTheme="minorHAnsi" w:eastAsiaTheme="minorEastAsia" w:hAnsiTheme="minorHAnsi"/>
              <w:noProof/>
              <w:lang w:eastAsia="en-AU"/>
            </w:rPr>
          </w:pPr>
          <w:hyperlink w:anchor="_Toc525123773" w:history="1">
            <w:r w:rsidR="00DE47F4" w:rsidRPr="004468AE">
              <w:rPr>
                <w:rStyle w:val="Hyperlink"/>
                <w:noProof/>
              </w:rPr>
              <w:t>Appendix C – Acronyms and Abbreviations</w:t>
            </w:r>
            <w:r w:rsidR="00DE47F4">
              <w:rPr>
                <w:noProof/>
                <w:webHidden/>
              </w:rPr>
              <w:tab/>
            </w:r>
            <w:r w:rsidR="00DE47F4">
              <w:rPr>
                <w:noProof/>
                <w:webHidden/>
              </w:rPr>
              <w:fldChar w:fldCharType="begin"/>
            </w:r>
            <w:r w:rsidR="00DE47F4">
              <w:rPr>
                <w:noProof/>
                <w:webHidden/>
              </w:rPr>
              <w:instrText xml:space="preserve"> PAGEREF _Toc525123773 \h </w:instrText>
            </w:r>
            <w:r w:rsidR="00DE47F4">
              <w:rPr>
                <w:noProof/>
                <w:webHidden/>
              </w:rPr>
            </w:r>
            <w:r w:rsidR="00DE47F4">
              <w:rPr>
                <w:noProof/>
                <w:webHidden/>
              </w:rPr>
              <w:fldChar w:fldCharType="separate"/>
            </w:r>
            <w:r w:rsidR="00DE47F4">
              <w:rPr>
                <w:noProof/>
                <w:webHidden/>
              </w:rPr>
              <w:t>39</w:t>
            </w:r>
            <w:r w:rsidR="00DE47F4">
              <w:rPr>
                <w:noProof/>
                <w:webHidden/>
              </w:rPr>
              <w:fldChar w:fldCharType="end"/>
            </w:r>
          </w:hyperlink>
        </w:p>
        <w:p w14:paraId="4F25414E" w14:textId="77777777" w:rsidR="00DE47F4" w:rsidRDefault="00FE3C57">
          <w:pPr>
            <w:pStyle w:val="TOC1"/>
            <w:tabs>
              <w:tab w:val="right" w:leader="dot" w:pos="9016"/>
            </w:tabs>
            <w:rPr>
              <w:rFonts w:asciiTheme="minorHAnsi" w:eastAsiaTheme="minorEastAsia" w:hAnsiTheme="minorHAnsi"/>
              <w:noProof/>
              <w:lang w:eastAsia="en-AU"/>
            </w:rPr>
          </w:pPr>
          <w:hyperlink w:anchor="_Toc525123774" w:history="1">
            <w:r w:rsidR="00DE47F4" w:rsidRPr="004468AE">
              <w:rPr>
                <w:rStyle w:val="Hyperlink"/>
                <w:noProof/>
              </w:rPr>
              <w:t>Consultation Questions</w:t>
            </w:r>
            <w:r w:rsidR="00DE47F4">
              <w:rPr>
                <w:noProof/>
                <w:webHidden/>
              </w:rPr>
              <w:tab/>
            </w:r>
            <w:r w:rsidR="00DE47F4">
              <w:rPr>
                <w:noProof/>
                <w:webHidden/>
              </w:rPr>
              <w:fldChar w:fldCharType="begin"/>
            </w:r>
            <w:r w:rsidR="00DE47F4">
              <w:rPr>
                <w:noProof/>
                <w:webHidden/>
              </w:rPr>
              <w:instrText xml:space="preserve"> PAGEREF _Toc525123774 \h </w:instrText>
            </w:r>
            <w:r w:rsidR="00DE47F4">
              <w:rPr>
                <w:noProof/>
                <w:webHidden/>
              </w:rPr>
            </w:r>
            <w:r w:rsidR="00DE47F4">
              <w:rPr>
                <w:noProof/>
                <w:webHidden/>
              </w:rPr>
              <w:fldChar w:fldCharType="separate"/>
            </w:r>
            <w:r w:rsidR="00DE47F4">
              <w:rPr>
                <w:noProof/>
                <w:webHidden/>
              </w:rPr>
              <w:t>41</w:t>
            </w:r>
            <w:r w:rsidR="00DE47F4">
              <w:rPr>
                <w:noProof/>
                <w:webHidden/>
              </w:rPr>
              <w:fldChar w:fldCharType="end"/>
            </w:r>
          </w:hyperlink>
        </w:p>
        <w:p w14:paraId="3CB2B579" w14:textId="2CAB0C1A" w:rsidR="004822D3" w:rsidRDefault="001827DD" w:rsidP="001827DD">
          <w:pPr>
            <w:pStyle w:val="TOC1"/>
            <w:tabs>
              <w:tab w:val="right" w:leader="dot" w:pos="9016"/>
            </w:tabs>
            <w:sectPr w:rsidR="004822D3" w:rsidSect="006645D7">
              <w:headerReference w:type="default" r:id="rId14"/>
              <w:footerReference w:type="default" r:id="rId15"/>
              <w:pgSz w:w="11906" w:h="16838"/>
              <w:pgMar w:top="1440" w:right="1440" w:bottom="1440" w:left="1440" w:header="708" w:footer="708" w:gutter="0"/>
              <w:pgNumType w:start="1"/>
              <w:cols w:space="708"/>
              <w:titlePg/>
              <w:docGrid w:linePitch="360"/>
            </w:sectPr>
          </w:pPr>
          <w:r>
            <w:fldChar w:fldCharType="end"/>
          </w:r>
        </w:p>
      </w:sdtContent>
    </w:sdt>
    <w:p w14:paraId="6B8B8362" w14:textId="77777777" w:rsidR="000274ED" w:rsidRDefault="000274ED" w:rsidP="000274ED">
      <w:pPr>
        <w:pStyle w:val="Heading1"/>
      </w:pPr>
      <w:bookmarkStart w:id="12" w:name="_Toc525123758"/>
      <w:bookmarkStart w:id="13" w:name="_Toc512593533"/>
      <w:r>
        <w:lastRenderedPageBreak/>
        <w:t>Introduction</w:t>
      </w:r>
      <w:bookmarkEnd w:id="12"/>
    </w:p>
    <w:p w14:paraId="55C69586" w14:textId="7C46ACA9" w:rsidR="000155B5" w:rsidRDefault="000274ED" w:rsidP="000274ED">
      <w:r w:rsidRPr="0075191C">
        <w:t xml:space="preserve">The </w:t>
      </w:r>
      <w:r w:rsidRPr="0075191C">
        <w:rPr>
          <w:i/>
        </w:rPr>
        <w:t>Accessible Housing Options Paper</w:t>
      </w:r>
      <w:r w:rsidRPr="0075191C">
        <w:t xml:space="preserve"> ('Options Paper') </w:t>
      </w:r>
      <w:r>
        <w:t>has been developed by the Australian Building Codes Board (ABCB) to provide</w:t>
      </w:r>
      <w:r w:rsidRPr="0075191C">
        <w:t xml:space="preserve"> a preliminary menu of </w:t>
      </w:r>
      <w:r>
        <w:t>options</w:t>
      </w:r>
      <w:r w:rsidRPr="0075191C">
        <w:t xml:space="preserve"> and costings on the</w:t>
      </w:r>
      <w:r w:rsidR="00DA13E7">
        <w:t xml:space="preserve"> possible</w:t>
      </w:r>
      <w:r w:rsidRPr="0075191C">
        <w:t xml:space="preserve"> inclusion of a minimum accessibility standard for housing in the National Construction Code (NCC). </w:t>
      </w:r>
    </w:p>
    <w:p w14:paraId="3639804B" w14:textId="2CDDB4C3" w:rsidR="000155B5" w:rsidRPr="000155B5" w:rsidRDefault="000155B5" w:rsidP="000155B5">
      <w:r w:rsidRPr="000155B5">
        <w:t>The ABCB is a Council of Australian Government</w:t>
      </w:r>
      <w:r>
        <w:t>s</w:t>
      </w:r>
      <w:r w:rsidRPr="000155B5">
        <w:t xml:space="preserve"> (COAG) standards writing body that is responsible for the development of the NCC. The ABCB is a joint initiative of all three levels of government in Australia. It was established by an Inter-government agreement (IGA) that was first signed by the Commonwealth, States and Territories on 1 March 1994, and has been updated from time to time since. The ABCB is also a regulatory reform vehicle for COAG, and reports to th</w:t>
      </w:r>
      <w:r w:rsidR="0034096C">
        <w:t>e Australian Government Minister</w:t>
      </w:r>
      <w:r w:rsidRPr="000155B5">
        <w:t xml:space="preserve"> and State and Territory Ministers responsible for building and plumbing regulatory matters, also known as the Building Ministers' Forum (BMF).</w:t>
      </w:r>
    </w:p>
    <w:p w14:paraId="6626C735" w14:textId="292A7A1B" w:rsidR="000155B5" w:rsidRDefault="000155B5" w:rsidP="000274ED">
      <w:r w:rsidRPr="000155B5">
        <w:t xml:space="preserve">The </w:t>
      </w:r>
      <w:r>
        <w:t>NCC</w:t>
      </w:r>
      <w:r w:rsidRPr="000155B5">
        <w:t xml:space="preserve"> provides the minimum necessary req</w:t>
      </w:r>
      <w:r>
        <w:t>uirements for safety and health,</w:t>
      </w:r>
      <w:r w:rsidRPr="000155B5">
        <w:t xml:space="preserve"> amenity and accessibility, and sustainability in the design, construction, performance and livability of new buildings (and new building work in existing buildings) throughout Australia. It is a uniform set of technical provisions for building work and plumbing and drainage installations throughout Australia whilst allowing for variations in geological or geographic conditions</w:t>
      </w:r>
      <w:r w:rsidR="00244EDE">
        <w:t>, such as climate</w:t>
      </w:r>
      <w:r w:rsidRPr="000155B5">
        <w:t>.</w:t>
      </w:r>
    </w:p>
    <w:p w14:paraId="60CFAE4A" w14:textId="6B359526" w:rsidR="00F34C55" w:rsidRPr="00F34C55" w:rsidRDefault="00F34C55" w:rsidP="00F34C55">
      <w:r w:rsidRPr="00F34C55">
        <w:t>Accessible housing is any housing that</w:t>
      </w:r>
      <w:r w:rsidR="001244D1">
        <w:t xml:space="preserve"> includes features </w:t>
      </w:r>
      <w:r w:rsidR="00244EDE">
        <w:t>that</w:t>
      </w:r>
      <w:r w:rsidRPr="00F34C55">
        <w:t xml:space="preserve"> enable use by people either with a disability or </w:t>
      </w:r>
      <w:r w:rsidR="006A0B36">
        <w:t xml:space="preserve">transitioning </w:t>
      </w:r>
      <w:r w:rsidRPr="00F34C55">
        <w:t xml:space="preserve">through their life stages. Other similar (but not identical) terms include </w:t>
      </w:r>
      <w:r w:rsidR="00754726">
        <w:t xml:space="preserve">'visitable', </w:t>
      </w:r>
      <w:r w:rsidRPr="00F34C55">
        <w:t xml:space="preserve">'adaptable', 'livable' and 'universal'. For simplicity, the term 'accessible' will be used generically throughout this Options Paper. </w:t>
      </w:r>
    </w:p>
    <w:p w14:paraId="1A5E45E5" w14:textId="696D9593" w:rsidR="00F34C55" w:rsidRPr="00F34C55" w:rsidRDefault="00F34C55" w:rsidP="00F34C55">
      <w:r w:rsidRPr="00F34C55">
        <w:t>As with any other potential change to the NCC, a minimum accessibility standard for housing must be underpinned by a rigorously tested rationale, be effective and proportional to the issue, and must generate a net societal benefit. Th</w:t>
      </w:r>
      <w:r w:rsidR="00C72832">
        <w:t>is is made clear by the ABCB's IGA</w:t>
      </w:r>
      <w:r w:rsidRPr="00F34C55">
        <w:rPr>
          <w:vertAlign w:val="superscript"/>
        </w:rPr>
        <w:footnoteReference w:id="2"/>
      </w:r>
      <w:r w:rsidR="001244D1">
        <w:t>,</w:t>
      </w:r>
      <w:r w:rsidRPr="00F34C55">
        <w:t xml:space="preserve"> as well as the COAG Principles</w:t>
      </w:r>
      <w:r w:rsidR="00104012">
        <w:t xml:space="preserve"> for Best Practice Regulation</w:t>
      </w:r>
      <w:r w:rsidRPr="00F34C55">
        <w:t>.</w:t>
      </w:r>
      <w:r w:rsidRPr="00F34C55">
        <w:rPr>
          <w:vertAlign w:val="superscript"/>
        </w:rPr>
        <w:footnoteReference w:id="3"/>
      </w:r>
      <w:r w:rsidRPr="00F34C55">
        <w:t xml:space="preserve"> </w:t>
      </w:r>
    </w:p>
    <w:p w14:paraId="2DAC2315" w14:textId="17B44FE6" w:rsidR="00F34C55" w:rsidRPr="00F34C55" w:rsidRDefault="00F34C55" w:rsidP="00F34C55">
      <w:r w:rsidRPr="00F34C55">
        <w:t xml:space="preserve">In this respect it is important to note that the initiation of this work is not a commitment to change the NCC, but rather a commitment to undertake a thorough process to determine if changes to the NCC are warranted, and if so, </w:t>
      </w:r>
      <w:r w:rsidR="00DA13E7">
        <w:t>to what</w:t>
      </w:r>
      <w:r w:rsidR="00DA13E7" w:rsidRPr="00F34C55">
        <w:t xml:space="preserve"> </w:t>
      </w:r>
      <w:r w:rsidRPr="00F34C55">
        <w:t>extent.</w:t>
      </w:r>
    </w:p>
    <w:p w14:paraId="0348D67B" w14:textId="58881C5A" w:rsidR="00C72832" w:rsidRDefault="00754726" w:rsidP="000274ED">
      <w:r>
        <w:t>This</w:t>
      </w:r>
      <w:r w:rsidR="003B0E59">
        <w:t xml:space="preserve"> Options P</w:t>
      </w:r>
      <w:r w:rsidR="00F34C55" w:rsidRPr="00F34C55">
        <w:t xml:space="preserve">aper </w:t>
      </w:r>
      <w:r w:rsidR="00DA13E7">
        <w:t>has been developed</w:t>
      </w:r>
      <w:r w:rsidR="00F34C55" w:rsidRPr="00F34C55">
        <w:t xml:space="preserve"> to seek broader community and industry input and refine the details of the objectives, options and terminology that will be c</w:t>
      </w:r>
      <w:r w:rsidR="001244D1">
        <w:t>onsidered in a formal Regulation</w:t>
      </w:r>
      <w:r w:rsidR="00F34C55" w:rsidRPr="00F34C55">
        <w:t xml:space="preserve"> Impact Statement (RIS). Information on how to participate and what will happen to the </w:t>
      </w:r>
      <w:r w:rsidR="00DC3CDA">
        <w:t>submission</w:t>
      </w:r>
      <w:r w:rsidR="00F34C55" w:rsidRPr="00F34C55">
        <w:t xml:space="preserve"> you provide can be found in the section titled '</w:t>
      </w:r>
      <w:r w:rsidR="00C72832">
        <w:t>Consultation</w:t>
      </w:r>
      <w:r w:rsidR="00F34C55" w:rsidRPr="00F34C55">
        <w:t>'.</w:t>
      </w:r>
    </w:p>
    <w:p w14:paraId="16ED29F8" w14:textId="77777777" w:rsidR="00C72832" w:rsidRDefault="00C72832" w:rsidP="00C72832">
      <w:pPr>
        <w:pStyle w:val="Heading1"/>
      </w:pPr>
      <w:bookmarkStart w:id="14" w:name="_Toc525123759"/>
      <w:r>
        <w:t>Background</w:t>
      </w:r>
      <w:bookmarkEnd w:id="14"/>
    </w:p>
    <w:p w14:paraId="658799FE" w14:textId="70C255C6" w:rsidR="00C72832" w:rsidRPr="00AB40C1" w:rsidRDefault="00C72832" w:rsidP="00C72832">
      <w:pPr>
        <w:rPr>
          <w:lang w:val="en"/>
        </w:rPr>
      </w:pPr>
      <w:r w:rsidRPr="00AB40C1">
        <w:rPr>
          <w:lang w:val="en"/>
        </w:rPr>
        <w:t>In response to a proposal from the BMF in 2017,</w:t>
      </w:r>
      <w:r w:rsidRPr="00AB40C1">
        <w:rPr>
          <w:vertAlign w:val="superscript"/>
          <w:lang w:val="en"/>
        </w:rPr>
        <w:footnoteReference w:id="4"/>
      </w:r>
      <w:r w:rsidRPr="00AB40C1">
        <w:rPr>
          <w:lang w:val="en"/>
        </w:rPr>
        <w:t xml:space="preserve"> the Prime Minister, the Hon Malcolm Turnbull MP, wrote to COAG First Ministers seeking agreement for the ABCB to undertake a Regulation Impact Assessment (RIA) on the costs and benefits of applying a minimum accessibility standard to all new residential dwellings in Australia. All COAG First Ministers responded supporting </w:t>
      </w:r>
      <w:r w:rsidR="00F7643E">
        <w:rPr>
          <w:lang w:val="en"/>
        </w:rPr>
        <w:t xml:space="preserve">the </w:t>
      </w:r>
      <w:r w:rsidRPr="00AB40C1">
        <w:rPr>
          <w:lang w:val="en"/>
        </w:rPr>
        <w:t>preparation of an RIA.</w:t>
      </w:r>
    </w:p>
    <w:p w14:paraId="1E2B8ACE" w14:textId="7B140A5A" w:rsidR="00C72832" w:rsidRDefault="00C72832" w:rsidP="00C72832">
      <w:pPr>
        <w:rPr>
          <w:lang w:val="en"/>
        </w:rPr>
      </w:pPr>
      <w:r w:rsidRPr="00AB40C1">
        <w:rPr>
          <w:lang w:val="en"/>
        </w:rPr>
        <w:t xml:space="preserve">In October 2017, the </w:t>
      </w:r>
      <w:r>
        <w:rPr>
          <w:lang w:val="en"/>
        </w:rPr>
        <w:t>BMF</w:t>
      </w:r>
      <w:r w:rsidRPr="00AB40C1">
        <w:rPr>
          <w:lang w:val="en"/>
        </w:rPr>
        <w:t xml:space="preserve"> agreed that a national RIA would be undertaken</w:t>
      </w:r>
      <w:r w:rsidR="00F7643E">
        <w:rPr>
          <w:lang w:val="en"/>
        </w:rPr>
        <w:t xml:space="preserve"> by the ABCB</w:t>
      </w:r>
      <w:r w:rsidRPr="00AB40C1">
        <w:rPr>
          <w:lang w:val="en"/>
        </w:rPr>
        <w:t>, in consultation with Disability Ministers through the Disability Reform Council (DRC), regarding accessible housing.</w:t>
      </w:r>
      <w:r w:rsidR="00E80CB3">
        <w:rPr>
          <w:lang w:val="en"/>
        </w:rPr>
        <w:t xml:space="preserve"> It was also agreed that the RIA would examine the Livable Housing Design Guidelines'</w:t>
      </w:r>
      <w:r w:rsidR="00754726">
        <w:rPr>
          <w:lang w:val="en"/>
        </w:rPr>
        <w:t xml:space="preserve"> (LHDG)</w:t>
      </w:r>
      <w:r w:rsidR="00A92A04">
        <w:rPr>
          <w:lang w:val="en"/>
        </w:rPr>
        <w:t xml:space="preserve"> Silver and Gold </w:t>
      </w:r>
      <w:r w:rsidR="00D261C6">
        <w:rPr>
          <w:lang w:val="en"/>
        </w:rPr>
        <w:t>l</w:t>
      </w:r>
      <w:r w:rsidR="00E80CB3">
        <w:rPr>
          <w:lang w:val="en"/>
        </w:rPr>
        <w:t xml:space="preserve">evel specifications as </w:t>
      </w:r>
      <w:r w:rsidR="00754726">
        <w:rPr>
          <w:lang w:val="en"/>
        </w:rPr>
        <w:t xml:space="preserve">possible </w:t>
      </w:r>
      <w:r w:rsidR="00E80CB3">
        <w:rPr>
          <w:lang w:val="en"/>
        </w:rPr>
        <w:t>options for a minimum accessibility standard; use a sensitivity approach; and be informed by appropriate case studies.</w:t>
      </w:r>
      <w:r w:rsidR="00E80CB3">
        <w:rPr>
          <w:rStyle w:val="FootnoteReference"/>
          <w:lang w:val="en"/>
        </w:rPr>
        <w:footnoteReference w:id="5"/>
      </w:r>
    </w:p>
    <w:p w14:paraId="0778B909" w14:textId="77777777" w:rsidR="00C72832" w:rsidRDefault="00C72832" w:rsidP="00C72832">
      <w:pPr>
        <w:rPr>
          <w:lang w:val="en"/>
        </w:rPr>
      </w:pPr>
      <w:r w:rsidRPr="00AB40C1">
        <w:rPr>
          <w:lang w:val="en"/>
        </w:rPr>
        <w:t>The DRC provides a forum for member Governments to discuss matters of mutual interest and progress key national reform</w:t>
      </w:r>
      <w:r>
        <w:rPr>
          <w:lang w:val="en"/>
        </w:rPr>
        <w:t>s</w:t>
      </w:r>
      <w:r w:rsidRPr="00AB40C1">
        <w:rPr>
          <w:lang w:val="en"/>
        </w:rPr>
        <w:t xml:space="preserve"> in disability policy including the </w:t>
      </w:r>
      <w:r w:rsidRPr="00AB40C1">
        <w:rPr>
          <w:i/>
          <w:lang w:val="en"/>
        </w:rPr>
        <w:t>National Disability Strategy 2010-2020</w:t>
      </w:r>
      <w:r w:rsidRPr="00AB40C1">
        <w:rPr>
          <w:lang w:val="en"/>
        </w:rPr>
        <w:t xml:space="preserve"> (NDS).</w:t>
      </w:r>
      <w:r w:rsidRPr="00AB40C1">
        <w:rPr>
          <w:vertAlign w:val="superscript"/>
          <w:lang w:val="en"/>
        </w:rPr>
        <w:footnoteReference w:id="6"/>
      </w:r>
      <w:r>
        <w:rPr>
          <w:lang w:val="en"/>
        </w:rPr>
        <w:t xml:space="preserve"> </w:t>
      </w:r>
    </w:p>
    <w:p w14:paraId="55BB93D3" w14:textId="1736627D" w:rsidR="008E0183" w:rsidRDefault="00C72832" w:rsidP="00C72832">
      <w:r w:rsidRPr="00AB40C1">
        <w:rPr>
          <w:lang w:val="en"/>
        </w:rPr>
        <w:t xml:space="preserve">The </w:t>
      </w:r>
      <w:r>
        <w:rPr>
          <w:lang w:val="en"/>
        </w:rPr>
        <w:t>NDS</w:t>
      </w:r>
      <w:r w:rsidRPr="00AB40C1">
        <w:rPr>
          <w:lang w:val="en"/>
        </w:rPr>
        <w:t xml:space="preserve"> was developed by the Commonwealth, State and Territory Governments under the auspices of COAG. The NDS </w:t>
      </w:r>
      <w:r w:rsidRPr="00AB40C1">
        <w:t>sets out a ten year national plan for improving life for Australians with disability, their families and carers. It covers, among other things, policy toward</w:t>
      </w:r>
      <w:r w:rsidR="00104012">
        <w:t>s</w:t>
      </w:r>
      <w:r w:rsidRPr="00AB40C1">
        <w:t xml:space="preserve"> achieving an inclusive and accessible physical environment, including</w:t>
      </w:r>
      <w:r>
        <w:t xml:space="preserve"> in</w:t>
      </w:r>
      <w:r w:rsidRPr="00AB40C1">
        <w:t xml:space="preserve"> buildings and housing.</w:t>
      </w:r>
      <w:r w:rsidRPr="00AB40C1">
        <w:rPr>
          <w:vertAlign w:val="superscript"/>
        </w:rPr>
        <w:footnoteReference w:id="7"/>
      </w:r>
      <w:r w:rsidRPr="00AB40C1">
        <w:t xml:space="preserve"> </w:t>
      </w:r>
    </w:p>
    <w:p w14:paraId="136591AD" w14:textId="77777777" w:rsidR="003B0E59" w:rsidRDefault="003B0E59">
      <w:pPr>
        <w:jc w:val="left"/>
      </w:pPr>
      <w:r>
        <w:br w:type="page"/>
      </w:r>
    </w:p>
    <w:p w14:paraId="5520E7D4" w14:textId="32CB614E" w:rsidR="00C72832" w:rsidRDefault="003B0E59" w:rsidP="003B0E59">
      <w:pPr>
        <w:pStyle w:val="Heading1"/>
      </w:pPr>
      <w:bookmarkStart w:id="15" w:name="_Toc525123760"/>
      <w:r>
        <w:t>Current Situation</w:t>
      </w:r>
      <w:bookmarkEnd w:id="15"/>
    </w:p>
    <w:p w14:paraId="21488E74" w14:textId="79715FF8" w:rsidR="00AB554C" w:rsidRPr="00832D03" w:rsidRDefault="00AB554C" w:rsidP="00AB554C">
      <w:r w:rsidRPr="00832D03">
        <w:t>For Class 1a buildings (houses, townhouses, row houses</w:t>
      </w:r>
      <w:r w:rsidR="007018E9">
        <w:t>,</w:t>
      </w:r>
      <w:r w:rsidRPr="00832D03">
        <w:t xml:space="preserve"> etc) the NCC does not set any accessibility requirements. For Class 2 buildings</w:t>
      </w:r>
      <w:r w:rsidR="00754726">
        <w:t xml:space="preserve"> (apartment buildings)</w:t>
      </w:r>
      <w:r w:rsidRPr="00832D03">
        <w:t xml:space="preserve">, the NCC requires an accessible path of travel to the door of each individual apartment on </w:t>
      </w:r>
      <w:r>
        <w:t xml:space="preserve">at </w:t>
      </w:r>
      <w:r w:rsidRPr="00832D03">
        <w:t xml:space="preserve">least one floor, as well </w:t>
      </w:r>
      <w:r>
        <w:t xml:space="preserve">as </w:t>
      </w:r>
      <w:r w:rsidRPr="00832D03">
        <w:t>to and within at least one of each type of room or space provided as part of the common areas of the bui</w:t>
      </w:r>
      <w:r w:rsidR="00754726">
        <w:t>lding</w:t>
      </w:r>
      <w:r w:rsidRPr="00832D03">
        <w:t>.</w:t>
      </w:r>
      <w:r>
        <w:t xml:space="preserve"> Also, where a ramp or passenger lift is installed, the accessible path of travel must reach the entrance door of each apartment and any common areas, served by the lift or ramp.</w:t>
      </w:r>
      <w:r w:rsidRPr="00832D03">
        <w:t xml:space="preserve"> However, there are no accessibility requirements applicable to the internal parts of individual apartments </w:t>
      </w:r>
      <w:r w:rsidR="00754726">
        <w:t>with</w:t>
      </w:r>
      <w:r w:rsidRPr="00832D03">
        <w:t xml:space="preserve">in a Class 2 building. </w:t>
      </w:r>
    </w:p>
    <w:p w14:paraId="778DC1DE" w14:textId="6706BD85" w:rsidR="00AB554C" w:rsidRPr="00832D03" w:rsidRDefault="00AB554C" w:rsidP="00AB554C">
      <w:r w:rsidRPr="00832D03">
        <w:t>At a State/Territory level, regulations for accessible housing exist in four jurisdictions: the Australian Capital Territory (ACT), New South Wales (NSW), South Australia (SA) and Victoria. NSW and Victoria apply their requirements th</w:t>
      </w:r>
      <w:r>
        <w:t>r</w:t>
      </w:r>
      <w:r w:rsidRPr="00832D03">
        <w:t xml:space="preserve">ough </w:t>
      </w:r>
      <w:r w:rsidR="00BA652B">
        <w:t xml:space="preserve">state-specific </w:t>
      </w:r>
      <w:r w:rsidR="001D6BF9">
        <w:t>measures</w:t>
      </w:r>
      <w:r w:rsidR="00FC1FCB">
        <w:t xml:space="preserve">, for example </w:t>
      </w:r>
      <w:r w:rsidR="00BA652B">
        <w:t xml:space="preserve">apartment design guidelines that are applied under </w:t>
      </w:r>
      <w:r w:rsidRPr="00832D03">
        <w:t>planning laws.</w:t>
      </w:r>
      <w:r w:rsidR="00BA652B">
        <w:rPr>
          <w:rStyle w:val="FootnoteReference"/>
        </w:rPr>
        <w:footnoteReference w:id="8"/>
      </w:r>
      <w:r w:rsidR="00DC62B1">
        <w:rPr>
          <w:vertAlign w:val="superscript"/>
        </w:rPr>
        <w:t xml:space="preserve"> </w:t>
      </w:r>
      <w:r w:rsidR="00DC62B1">
        <w:rPr>
          <w:rStyle w:val="FootnoteReference"/>
        </w:rPr>
        <w:footnoteReference w:id="9"/>
      </w:r>
      <w:r w:rsidRPr="00832D03">
        <w:t xml:space="preserve"> The ACT's requirements are </w:t>
      </w:r>
      <w:r w:rsidR="001900A7">
        <w:t>based on AS 4299</w:t>
      </w:r>
      <w:r w:rsidR="001900A7">
        <w:rPr>
          <w:rStyle w:val="FootnoteReference"/>
        </w:rPr>
        <w:footnoteReference w:id="10"/>
      </w:r>
      <w:r w:rsidR="001900A7">
        <w:t xml:space="preserve"> and are </w:t>
      </w:r>
      <w:r w:rsidR="00D96296">
        <w:t xml:space="preserve">also </w:t>
      </w:r>
      <w:r w:rsidRPr="00832D03">
        <w:t xml:space="preserve">applied through </w:t>
      </w:r>
      <w:r w:rsidR="00D96296">
        <w:t>planning</w:t>
      </w:r>
      <w:r w:rsidR="00D96296" w:rsidRPr="00832D03">
        <w:t xml:space="preserve"> </w:t>
      </w:r>
      <w:r w:rsidRPr="00832D03">
        <w:t xml:space="preserve">regulation, but </w:t>
      </w:r>
      <w:r w:rsidR="00D96296">
        <w:t xml:space="preserve">to ‘multi-unit developments’ </w:t>
      </w:r>
      <w:r w:rsidR="00D51601">
        <w:t>that</w:t>
      </w:r>
      <w:r w:rsidR="00D96296">
        <w:t xml:space="preserve"> may include Class 1a or Class 2 buildings. </w:t>
      </w:r>
      <w:r w:rsidRPr="00832D03">
        <w:t xml:space="preserve">SA mandates </w:t>
      </w:r>
      <w:r w:rsidR="001900A7">
        <w:t>compliance with AS 1428.1</w:t>
      </w:r>
      <w:r w:rsidR="001900A7" w:rsidRPr="00832D03">
        <w:rPr>
          <w:vertAlign w:val="superscript"/>
        </w:rPr>
        <w:footnoteReference w:id="11"/>
      </w:r>
      <w:r w:rsidRPr="00832D03">
        <w:t xml:space="preserve"> for houses and apartments, but this is also only to a proportion of houses</w:t>
      </w:r>
      <w:r w:rsidR="00DA13E7">
        <w:t xml:space="preserve"> </w:t>
      </w:r>
      <w:r w:rsidR="00DA13E7" w:rsidRPr="00832D03">
        <w:t>(1 in 20)</w:t>
      </w:r>
      <w:r w:rsidRPr="00832D03">
        <w:t xml:space="preserve"> or apartments in any new development of 20 or more. </w:t>
      </w:r>
    </w:p>
    <w:p w14:paraId="145357AA" w14:textId="7A2C444B" w:rsidR="00AB554C" w:rsidRPr="00832D03" w:rsidRDefault="00AB554C" w:rsidP="00AB554C">
      <w:r w:rsidRPr="00832D03">
        <w:t xml:space="preserve">For public housing, </w:t>
      </w:r>
      <w:r w:rsidR="000F387A">
        <w:t>NSW, Queensland, SA, Tasmania and WA</w:t>
      </w:r>
      <w:r w:rsidRPr="00832D03">
        <w:t xml:space="preserve"> specify accessibility features in a proportion </w:t>
      </w:r>
      <w:r>
        <w:t>of</w:t>
      </w:r>
      <w:r w:rsidRPr="00832D03">
        <w:t xml:space="preserve"> the housing they provide. The ACT, NT and Victoria apply accessibility</w:t>
      </w:r>
      <w:r w:rsidR="000F387A">
        <w:t xml:space="preserve"> requirements to all government-</w:t>
      </w:r>
      <w:r w:rsidR="00D96296">
        <w:t>commissioned</w:t>
      </w:r>
      <w:r w:rsidR="00D96296" w:rsidRPr="00832D03">
        <w:t xml:space="preserve"> </w:t>
      </w:r>
      <w:r w:rsidRPr="00832D03">
        <w:t xml:space="preserve">housing. Most housing authorities use the LHDG Silver or Gold level specifications, except for the ACT which </w:t>
      </w:r>
      <w:r w:rsidR="00D96296">
        <w:t xml:space="preserve">also </w:t>
      </w:r>
      <w:r w:rsidR="000F387A">
        <w:t>adopts AS </w:t>
      </w:r>
      <w:r w:rsidRPr="00832D03">
        <w:t>4299, SA which uses AS 1428.1 and WA</w:t>
      </w:r>
      <w:r>
        <w:t>,</w:t>
      </w:r>
      <w:r w:rsidRPr="00832D03">
        <w:t xml:space="preserve"> wh</w:t>
      </w:r>
      <w:r>
        <w:t>ich has</w:t>
      </w:r>
      <w:r w:rsidRPr="00832D03">
        <w:t xml:space="preserve"> not adopted a specific standard.</w:t>
      </w:r>
      <w:r w:rsidRPr="00832D03">
        <w:rPr>
          <w:vertAlign w:val="superscript"/>
        </w:rPr>
        <w:footnoteReference w:id="12"/>
      </w:r>
      <w:r w:rsidRPr="00832D03">
        <w:t xml:space="preserve">  </w:t>
      </w:r>
    </w:p>
    <w:p w14:paraId="0FD6CCFA" w14:textId="5A79A758" w:rsidR="00BA652B" w:rsidRPr="00832D03" w:rsidRDefault="00AB554C" w:rsidP="00AB554C">
      <w:r w:rsidRPr="00832D03">
        <w:t>At a Commonwealth level, the National Disability Insurance Scheme (NDIS) provides housing support to its participants through funding modifications to the</w:t>
      </w:r>
      <w:r w:rsidR="00D51601">
        <w:t>ir</w:t>
      </w:r>
      <w:r w:rsidRPr="00832D03">
        <w:t xml:space="preserve"> own home or private rental property</w:t>
      </w:r>
      <w:r w:rsidR="004925B5">
        <w:t>,</w:t>
      </w:r>
      <w:r w:rsidRPr="00832D03">
        <w:t xml:space="preserve"> and on a case-by-case basis in social housing.</w:t>
      </w:r>
      <w:r w:rsidRPr="00832D03">
        <w:rPr>
          <w:vertAlign w:val="superscript"/>
        </w:rPr>
        <w:footnoteReference w:id="13"/>
      </w:r>
      <w:r w:rsidRPr="00832D03">
        <w:t xml:space="preserve"> As at 30 September 2017, there were 112,785 participants in the NDIS,</w:t>
      </w:r>
      <w:r w:rsidRPr="00832D03">
        <w:rPr>
          <w:vertAlign w:val="superscript"/>
        </w:rPr>
        <w:footnoteReference w:id="14"/>
      </w:r>
      <w:r w:rsidRPr="00832D03">
        <w:t xml:space="preserve"> although the proportion of this group that accessed</w:t>
      </w:r>
      <w:r w:rsidR="00D51601">
        <w:t xml:space="preserve"> support for home modifications</w:t>
      </w:r>
      <w:r w:rsidRPr="00832D03">
        <w:t xml:space="preserve"> and the natur</w:t>
      </w:r>
      <w:r w:rsidR="00D51601">
        <w:t>e of the modifications provided</w:t>
      </w:r>
      <w:r w:rsidRPr="00832D03">
        <w:t xml:space="preserve"> is not known. NDIS-funded modifications are designed to meet </w:t>
      </w:r>
      <w:r w:rsidR="00087880">
        <w:t xml:space="preserve">individual </w:t>
      </w:r>
      <w:r w:rsidRPr="00832D03">
        <w:t>client needs rather than comply with a specific technical standard.</w:t>
      </w:r>
    </w:p>
    <w:p w14:paraId="62D22467" w14:textId="0FF703FA" w:rsidR="003B0E59" w:rsidRDefault="00817E43" w:rsidP="00817E43">
      <w:pPr>
        <w:pStyle w:val="Heading2"/>
      </w:pPr>
      <w:r>
        <w:t>National Disability Strategy</w:t>
      </w:r>
    </w:p>
    <w:p w14:paraId="6EDF7265" w14:textId="7EDA0451" w:rsidR="00685FBD" w:rsidRDefault="00685FBD" w:rsidP="00685FBD">
      <w:r>
        <w:t>In relation</w:t>
      </w:r>
      <w:r w:rsidRPr="00685FBD">
        <w:t xml:space="preserve"> to housing, the NDS </w:t>
      </w:r>
      <w:r>
        <w:t xml:space="preserve">in 2010 </w:t>
      </w:r>
      <w:r w:rsidRPr="00685FBD">
        <w:t xml:space="preserve">included </w:t>
      </w:r>
      <w:r>
        <w:t>the following commitments:</w:t>
      </w:r>
    </w:p>
    <w:p w14:paraId="616EF4DB" w14:textId="07AA6302" w:rsidR="00685FBD" w:rsidRDefault="00685FBD" w:rsidP="00685FBD">
      <w:pPr>
        <w:pStyle w:val="Quote"/>
      </w:pPr>
      <w:r>
        <w:t xml:space="preserve">Improved accessibility in social housing is being achieved through the incorporation of universal design elements in more than 15,000 new public and community housing dwellings which are being built under the social housing component of the Nation Building—Economic Stimulus Plan. Funding provided through the Social Housing Initiative will support the inclusion of six specified universal </w:t>
      </w:r>
      <w:r w:rsidR="001A429F">
        <w:t xml:space="preserve">design features in these dwellings that will provide improved access to people who have limited mobility. Of these, more than 5,000 dwellings will also achieve an even higher </w:t>
      </w:r>
      <w:r w:rsidR="003A2081">
        <w:t>level of adaptability through compliance with the Australian Standard for Adaptable Housing Class C.</w:t>
      </w:r>
      <w:r w:rsidR="003A2081" w:rsidRPr="00FB117C">
        <w:rPr>
          <w:rStyle w:val="FootnoteReference"/>
          <w:i w:val="0"/>
        </w:rPr>
        <w:footnoteReference w:id="15"/>
      </w:r>
    </w:p>
    <w:p w14:paraId="346FBA8B" w14:textId="47383E8C" w:rsidR="00685FBD" w:rsidRDefault="003A2081" w:rsidP="003A2081">
      <w:pPr>
        <w:pStyle w:val="Quote"/>
      </w:pPr>
      <w:r>
        <w:t xml:space="preserve">The Australian Government </w:t>
      </w:r>
      <w:r w:rsidR="00FB117C">
        <w:t xml:space="preserve">is working with representatives from all levels of government, key stakeholders from the disability, ageing and community support sectors and the residential building and property industry on the National Dialogue on Universal Housing Design to ensure that housing is designed and developed to be more accessible and adaptable. </w:t>
      </w:r>
      <w:r w:rsidR="00170E7A">
        <w:t>An aspirational target that all new homes will be of agreed universal design standards by 2020 has been set, with interim targets and earlier completion dates to be determined.</w:t>
      </w:r>
      <w:r w:rsidR="00170E7A" w:rsidRPr="00CA4E29">
        <w:rPr>
          <w:rStyle w:val="FootnoteReference"/>
          <w:i w:val="0"/>
        </w:rPr>
        <w:footnoteReference w:id="16"/>
      </w:r>
    </w:p>
    <w:p w14:paraId="075CD8D4" w14:textId="3CE0B288" w:rsidR="00817E43" w:rsidRDefault="00685FBD" w:rsidP="00817E43">
      <w:r w:rsidRPr="00685FBD">
        <w:t>Evidence tended to a recent Senate Inquiry suggests that under the current voluntary approach</w:t>
      </w:r>
      <w:r w:rsidR="007616E9">
        <w:t>,</w:t>
      </w:r>
      <w:r w:rsidRPr="00685FBD">
        <w:t xml:space="preserve"> which is based on the </w:t>
      </w:r>
      <w:r w:rsidR="00763089">
        <w:t>LHDG</w:t>
      </w:r>
      <w:r w:rsidRPr="00685FBD">
        <w:t>, this target is unlikely to be met.</w:t>
      </w:r>
      <w:r w:rsidRPr="00685FBD">
        <w:rPr>
          <w:vertAlign w:val="superscript"/>
        </w:rPr>
        <w:footnoteReference w:id="17"/>
      </w:r>
      <w:r w:rsidR="00CA4E29">
        <w:t xml:space="preserve"> </w:t>
      </w:r>
    </w:p>
    <w:p w14:paraId="5DCC1381" w14:textId="3B68744E" w:rsidR="00817E43" w:rsidRDefault="00817E43" w:rsidP="00817E43">
      <w:pPr>
        <w:pStyle w:val="Heading2"/>
      </w:pPr>
      <w:r>
        <w:t>Livable Housing Design Guidelines</w:t>
      </w:r>
    </w:p>
    <w:p w14:paraId="0CE34119" w14:textId="225B7F49" w:rsidR="00CA4E29" w:rsidRPr="00CA4E29" w:rsidRDefault="00CA4E29" w:rsidP="00CA4E29">
      <w:r w:rsidRPr="00CA4E29">
        <w:t>The LHDG</w:t>
      </w:r>
      <w:r>
        <w:t xml:space="preserve"> </w:t>
      </w:r>
      <w:r w:rsidRPr="00CA4E29">
        <w:t>are maintained and updated by Livable Housing Australia (LHA). LHA is a partnership between community and consumer groups, government and industry, which champions the mainstream adoption of livable housing design principles in all new homes built in Australia</w:t>
      </w:r>
      <w:r w:rsidR="00415776">
        <w:t xml:space="preserve"> through voluntary means</w:t>
      </w:r>
      <w:r w:rsidRPr="00CA4E29">
        <w:t>.</w:t>
      </w:r>
      <w:r w:rsidRPr="00CA4E29">
        <w:rPr>
          <w:vertAlign w:val="superscript"/>
        </w:rPr>
        <w:footnoteReference w:id="18"/>
      </w:r>
      <w:r w:rsidRPr="00CA4E29">
        <w:t xml:space="preserve"> </w:t>
      </w:r>
    </w:p>
    <w:p w14:paraId="054521B2" w14:textId="77777777" w:rsidR="00CA4E29" w:rsidRDefault="00CA4E29" w:rsidP="00CA4E29">
      <w:r w:rsidRPr="00CA4E29">
        <w:t>The intent of the design principles of the LHDG is to provide homes that are easier and safer to use for all occupants, including people with a disability, the aged, people with temporary injuries and families with young children.</w:t>
      </w:r>
      <w:r w:rsidRPr="00CA4E29">
        <w:rPr>
          <w:vertAlign w:val="superscript"/>
        </w:rPr>
        <w:footnoteReference w:id="19"/>
      </w:r>
      <w:r w:rsidRPr="00CA4E29">
        <w:t xml:space="preserve"> According to the LHDG, a home designed using its principles is easy to enter, easy to navigate in and around, capable of easy and cost-effective adaptation and responsive to the changing needs of home occupants.</w:t>
      </w:r>
    </w:p>
    <w:p w14:paraId="42F7E712" w14:textId="69E02021" w:rsidR="00817E43" w:rsidRDefault="00CA4E29" w:rsidP="00817E43">
      <w:r>
        <w:t>The LHDG set</w:t>
      </w:r>
      <w:r w:rsidR="00763089">
        <w:t>s</w:t>
      </w:r>
      <w:r>
        <w:t xml:space="preserve"> out three levels of specification: Silver, Gold and Platinum. </w:t>
      </w:r>
      <w:r w:rsidRPr="00CA4E29">
        <w:t xml:space="preserve">To date, four editions of the LHDG have been published, the latest in 2017. </w:t>
      </w:r>
      <w:r>
        <w:t xml:space="preserve">The requirements of the LHDG across the four editions have remained essentially the same with one additional element related to </w:t>
      </w:r>
      <w:r w:rsidR="006F7AAD">
        <w:t>stairways being added.</w:t>
      </w:r>
      <w:r w:rsidR="006F7AAD">
        <w:rPr>
          <w:rStyle w:val="FootnoteReference"/>
        </w:rPr>
        <w:footnoteReference w:id="20"/>
      </w:r>
      <w:r w:rsidR="00763089">
        <w:t xml:space="preserve"> This</w:t>
      </w:r>
      <w:r w:rsidR="00AD2116">
        <w:t xml:space="preserve"> additional element was added in the fourth edition.</w:t>
      </w:r>
    </w:p>
    <w:p w14:paraId="3142BB37" w14:textId="337EBA8E" w:rsidR="00817E43" w:rsidRDefault="005D5D12" w:rsidP="005D5D12">
      <w:pPr>
        <w:pStyle w:val="Heading2"/>
      </w:pPr>
      <w:r>
        <w:t>2016 Proposal for Change</w:t>
      </w:r>
    </w:p>
    <w:p w14:paraId="4F5A39EE" w14:textId="3ED2656A" w:rsidR="006F7406" w:rsidRPr="006F7406" w:rsidRDefault="006F7406" w:rsidP="006F7406">
      <w:r w:rsidRPr="006F7406">
        <w:t>In 2016, the ABCB received a Proposal-for-Change (PFC) seeking amendment of the NCC to include accessibility standards for housing. The PFC was jointly submitted by the Australian Network for Universal Housing Design (ANUHD) and Rights &amp; Inclusion Australia (R&amp;IA) (hereafter 'proponents'). A copy of the PFC is available on the ANUHD website.</w:t>
      </w:r>
      <w:r w:rsidRPr="006F7406">
        <w:rPr>
          <w:vertAlign w:val="superscript"/>
        </w:rPr>
        <w:footnoteReference w:id="21"/>
      </w:r>
    </w:p>
    <w:p w14:paraId="536D4BA8" w14:textId="77777777" w:rsidR="006F7406" w:rsidRPr="006F7406" w:rsidRDefault="006F7406" w:rsidP="006F7406">
      <w:r w:rsidRPr="006F7406">
        <w:t>The proponents put forward two arguments, reproduced below, in support of their PFC:</w:t>
      </w:r>
    </w:p>
    <w:p w14:paraId="22FC50F6" w14:textId="77777777" w:rsidR="006F7406" w:rsidRPr="006F7406" w:rsidRDefault="006F7406" w:rsidP="006F7406">
      <w:pPr>
        <w:spacing w:before="200" w:after="160"/>
        <w:ind w:left="864" w:right="864"/>
        <w:rPr>
          <w:i/>
          <w:iCs/>
          <w:color w:val="404040" w:themeColor="text1" w:themeTint="BF"/>
        </w:rPr>
      </w:pPr>
      <w:r w:rsidRPr="006F7406">
        <w:rPr>
          <w:i/>
          <w:iCs/>
          <w:color w:val="404040" w:themeColor="text1" w:themeTint="BF"/>
        </w:rPr>
        <w:t>a.</w:t>
      </w:r>
      <w:r w:rsidRPr="006F7406">
        <w:rPr>
          <w:i/>
          <w:iCs/>
          <w:color w:val="404040" w:themeColor="text1" w:themeTint="BF"/>
        </w:rPr>
        <w:tab/>
        <w:t xml:space="preserve">The inability of the housing industry to respond to the National </w:t>
      </w:r>
      <w:r w:rsidRPr="006F7406">
        <w:rPr>
          <w:i/>
          <w:iCs/>
          <w:color w:val="404040" w:themeColor="text1" w:themeTint="BF"/>
        </w:rPr>
        <w:tab/>
        <w:t xml:space="preserve">Dialogue agreement in 2010 and the subsequent COAG commitment </w:t>
      </w:r>
      <w:r w:rsidRPr="006F7406">
        <w:rPr>
          <w:i/>
          <w:iCs/>
          <w:color w:val="404040" w:themeColor="text1" w:themeTint="BF"/>
        </w:rPr>
        <w:tab/>
        <w:t>within the National Disability Strategy; and</w:t>
      </w:r>
    </w:p>
    <w:p w14:paraId="44BABA8B" w14:textId="77777777" w:rsidR="006F7406" w:rsidRPr="006F7406" w:rsidRDefault="006F7406" w:rsidP="006F7406">
      <w:pPr>
        <w:spacing w:before="200" w:after="160"/>
        <w:ind w:left="864" w:right="864"/>
        <w:rPr>
          <w:i/>
          <w:iCs/>
          <w:color w:val="404040" w:themeColor="text1" w:themeTint="BF"/>
        </w:rPr>
      </w:pPr>
      <w:r w:rsidRPr="006F7406">
        <w:rPr>
          <w:i/>
          <w:iCs/>
          <w:color w:val="404040" w:themeColor="text1" w:themeTint="BF"/>
        </w:rPr>
        <w:t>b.</w:t>
      </w:r>
      <w:r w:rsidRPr="006F7406">
        <w:rPr>
          <w:i/>
          <w:iCs/>
          <w:color w:val="404040" w:themeColor="text1" w:themeTint="BF"/>
        </w:rPr>
        <w:tab/>
        <w:t xml:space="preserve">Inconsistency across Australia in what is considered to be </w:t>
      </w:r>
      <w:r w:rsidRPr="006F7406">
        <w:rPr>
          <w:i/>
          <w:iCs/>
          <w:color w:val="404040" w:themeColor="text1" w:themeTint="BF"/>
        </w:rPr>
        <w:tab/>
        <w:t>accessibility in housing.</w:t>
      </w:r>
      <w:r w:rsidRPr="006F7406">
        <w:rPr>
          <w:iCs/>
          <w:color w:val="404040" w:themeColor="text1" w:themeTint="BF"/>
          <w:vertAlign w:val="superscript"/>
        </w:rPr>
        <w:footnoteReference w:id="22"/>
      </w:r>
    </w:p>
    <w:p w14:paraId="044DB0A7" w14:textId="4B4E52A9" w:rsidR="005D5D12" w:rsidRDefault="006F7406" w:rsidP="006F7406">
      <w:r w:rsidRPr="006F7406">
        <w:t>At the time</w:t>
      </w:r>
      <w:r w:rsidR="00D261C6">
        <w:t>,</w:t>
      </w:r>
      <w:r w:rsidRPr="006F7406">
        <w:t xml:space="preserve"> the ABCB considered the PFC to be a public policy issue that warranted conside</w:t>
      </w:r>
      <w:r w:rsidR="00DA6F19">
        <w:t>ration at a ministerial level. T</w:t>
      </w:r>
      <w:r w:rsidRPr="006F7406">
        <w:t>his has since occurred and is described in the 'Background' section on this paper. The PFC process, on the other hand, is intended for dealing with technical issues rather than matters of public policy.</w:t>
      </w:r>
    </w:p>
    <w:p w14:paraId="71E3B78C" w14:textId="020D2E07" w:rsidR="006774AC" w:rsidRPr="006774AC" w:rsidRDefault="006774AC" w:rsidP="006774AC">
      <w:r w:rsidRPr="006774AC">
        <w:t xml:space="preserve">As also noted </w:t>
      </w:r>
      <w:r w:rsidR="00FE604D">
        <w:t>earlier</w:t>
      </w:r>
      <w:r w:rsidRPr="006774AC">
        <w:t>, the NDS 'commitment' referred to by the proponents (argument a</w:t>
      </w:r>
      <w:r w:rsidR="005C38C8">
        <w:t>.</w:t>
      </w:r>
      <w:r w:rsidRPr="006774AC">
        <w:t>) was in fact an 'aspirational target' not a binding commitment, nor was it a commitment to introd</w:t>
      </w:r>
      <w:r w:rsidR="00DA6F19">
        <w:t xml:space="preserve">uce regulation if the target could </w:t>
      </w:r>
      <w:r w:rsidRPr="006774AC">
        <w:t>not be met through non-regulatory means.</w:t>
      </w:r>
    </w:p>
    <w:p w14:paraId="288963E8" w14:textId="507CDDD1" w:rsidR="006F7406" w:rsidRDefault="006774AC" w:rsidP="006774AC">
      <w:r w:rsidRPr="006774AC">
        <w:t>The issue of 'inconsistency' (argument b</w:t>
      </w:r>
      <w:r w:rsidR="005C38C8">
        <w:t>.</w:t>
      </w:r>
      <w:r w:rsidRPr="006774AC">
        <w:t>) is something that could be addressed through the NCC given its role in promoting nationally consistent regulation, however, inconsistency alone is not a sufficient reason to introduce new regulatio</w:t>
      </w:r>
      <w:r>
        <w:t>n.</w:t>
      </w:r>
    </w:p>
    <w:p w14:paraId="100D9A3B" w14:textId="77777777" w:rsidR="006774AC" w:rsidRPr="006774AC" w:rsidRDefault="006774AC" w:rsidP="006774AC">
      <w:pPr>
        <w:keepNext/>
        <w:keepLines/>
        <w:spacing w:before="200" w:after="0"/>
        <w:outlineLvl w:val="1"/>
        <w:rPr>
          <w:rFonts w:asciiTheme="majorHAnsi" w:eastAsiaTheme="majorEastAsia" w:hAnsiTheme="majorHAnsi" w:cstheme="majorBidi"/>
          <w:b/>
          <w:bCs/>
          <w:color w:val="002060"/>
          <w:sz w:val="32"/>
          <w:szCs w:val="26"/>
        </w:rPr>
      </w:pPr>
      <w:r w:rsidRPr="006774AC">
        <w:rPr>
          <w:rFonts w:asciiTheme="majorHAnsi" w:eastAsiaTheme="majorEastAsia" w:hAnsiTheme="majorHAnsi" w:cstheme="majorBidi"/>
          <w:b/>
          <w:bCs/>
          <w:color w:val="002060"/>
          <w:sz w:val="32"/>
          <w:szCs w:val="26"/>
        </w:rPr>
        <w:t>Access to Premises Standards</w:t>
      </w:r>
    </w:p>
    <w:p w14:paraId="74E28F57" w14:textId="7ED3CC0A" w:rsidR="006774AC" w:rsidRPr="006774AC" w:rsidRDefault="006774AC" w:rsidP="006774AC">
      <w:r w:rsidRPr="006774AC">
        <w:t xml:space="preserve">Section 23 of the </w:t>
      </w:r>
      <w:r w:rsidRPr="006774AC">
        <w:rPr>
          <w:i/>
        </w:rPr>
        <w:t xml:space="preserve">Disability Discrimination Act 1992 </w:t>
      </w:r>
      <w:r w:rsidR="00AF1D70">
        <w:t>(Cwlth</w:t>
      </w:r>
      <w:r w:rsidRPr="006774AC">
        <w:t>)</w:t>
      </w:r>
      <w:r w:rsidR="00667B42">
        <w:t xml:space="preserve">, known as the DDA, </w:t>
      </w:r>
      <w:r w:rsidRPr="006774AC">
        <w:t>covers access to premises and makes it unlawful to discriminate against a person with a disability in relation to access to, or use of, premises. Section 31(1) of the DDA provides for the Minister responsible for the DDA to make disability standards as a way of codifying the general non-discrimination requirements of the relevant sections of the DDA.</w:t>
      </w:r>
      <w:r w:rsidRPr="006774AC">
        <w:rPr>
          <w:vertAlign w:val="superscript"/>
        </w:rPr>
        <w:footnoteReference w:id="23"/>
      </w:r>
      <w:r w:rsidRPr="006774AC">
        <w:t xml:space="preserve"> </w:t>
      </w:r>
    </w:p>
    <w:p w14:paraId="32A1E881" w14:textId="77777777" w:rsidR="006774AC" w:rsidRPr="006774AC" w:rsidRDefault="006774AC" w:rsidP="006774AC">
      <w:r w:rsidRPr="006774AC">
        <w:t xml:space="preserve">The </w:t>
      </w:r>
      <w:r w:rsidRPr="006774AC">
        <w:rPr>
          <w:i/>
        </w:rPr>
        <w:t xml:space="preserve">Disability (Access to Premises—Buildings) Standards 2010 </w:t>
      </w:r>
      <w:r w:rsidRPr="006774AC">
        <w:t>were formulated following requests for improved certainty under the DDA in satisfying its objectives for non-discriminatory access to premises. The NCC provisions for access for people with a disability have been aligned with the technical requirements of the Access to Premises Standards.</w:t>
      </w:r>
      <w:r w:rsidRPr="006774AC">
        <w:rPr>
          <w:vertAlign w:val="superscript"/>
        </w:rPr>
        <w:footnoteReference w:id="24"/>
      </w:r>
      <w:r w:rsidRPr="006774AC">
        <w:t xml:space="preserve"> </w:t>
      </w:r>
    </w:p>
    <w:p w14:paraId="086165EC" w14:textId="3C435E4A" w:rsidR="006B651E" w:rsidRDefault="00AF1D70" w:rsidP="006774AC">
      <w:r>
        <w:t>P</w:t>
      </w:r>
      <w:r w:rsidR="006774AC" w:rsidRPr="002B0BD4">
        <w:t>rivate housing</w:t>
      </w:r>
      <w:r>
        <w:t>,</w:t>
      </w:r>
      <w:r w:rsidR="006774AC" w:rsidRPr="002B0BD4">
        <w:t xml:space="preserve"> </w:t>
      </w:r>
      <w:r>
        <w:t>h</w:t>
      </w:r>
      <w:r w:rsidRPr="006774AC">
        <w:t>owever</w:t>
      </w:r>
      <w:r>
        <w:t>,</w:t>
      </w:r>
      <w:r w:rsidRPr="002B0BD4">
        <w:t xml:space="preserve"> </w:t>
      </w:r>
      <w:r w:rsidR="006774AC" w:rsidRPr="002B0BD4">
        <w:t xml:space="preserve">is not covered by the DDA and </w:t>
      </w:r>
      <w:r w:rsidR="006B651E">
        <w:t xml:space="preserve">therefore </w:t>
      </w:r>
      <w:r w:rsidR="006774AC" w:rsidRPr="002B0BD4">
        <w:t xml:space="preserve">is </w:t>
      </w:r>
      <w:r w:rsidR="006774AC" w:rsidRPr="006774AC">
        <w:t>not addressed by the Access to Premises Standards.</w:t>
      </w:r>
    </w:p>
    <w:p w14:paraId="7B7A524A" w14:textId="77777777" w:rsidR="006B651E" w:rsidRDefault="006B651E">
      <w:pPr>
        <w:jc w:val="left"/>
      </w:pPr>
      <w:r>
        <w:br w:type="page"/>
      </w:r>
    </w:p>
    <w:p w14:paraId="7AFE94BA" w14:textId="7797E63F" w:rsidR="006774AC" w:rsidRDefault="006B651E" w:rsidP="006B651E">
      <w:pPr>
        <w:pStyle w:val="Heading1"/>
      </w:pPr>
      <w:bookmarkStart w:id="16" w:name="_Toc525123761"/>
      <w:r>
        <w:t>Identifying the Problem</w:t>
      </w:r>
      <w:bookmarkEnd w:id="16"/>
    </w:p>
    <w:p w14:paraId="1A54F10B" w14:textId="6C809AD6" w:rsidR="00310FF9" w:rsidRDefault="00310FF9" w:rsidP="00310FF9">
      <w:r>
        <w:t xml:space="preserve">This section </w:t>
      </w:r>
      <w:r w:rsidRPr="00310FF9">
        <w:t xml:space="preserve">will articulate </w:t>
      </w:r>
      <w:r>
        <w:t xml:space="preserve">how </w:t>
      </w:r>
      <w:r w:rsidRPr="00310FF9">
        <w:t>the nature and extent of the problem</w:t>
      </w:r>
      <w:r>
        <w:t xml:space="preserve"> needs to be identified</w:t>
      </w:r>
      <w:r w:rsidRPr="00310FF9">
        <w:t>, having regard to available evidence.</w:t>
      </w:r>
      <w:r w:rsidR="00962656">
        <w:t xml:space="preserve"> In identifying and defining the problem there are a number of threshold issues that need to be considered. These are discussed below.</w:t>
      </w:r>
    </w:p>
    <w:p w14:paraId="41EAEDE4" w14:textId="2AC2F879" w:rsidR="00962656" w:rsidRDefault="00962656" w:rsidP="00310FF9">
      <w:r>
        <w:t xml:space="preserve">It should be noted that this discussion of the problem is not definitive, rather its purpose is to stimulate discussion and feedback </w:t>
      </w:r>
      <w:r w:rsidR="005C38C8">
        <w:t>that</w:t>
      </w:r>
      <w:r>
        <w:t xml:space="preserve"> will assist in gathering sufficient evidence of a problem to include in </w:t>
      </w:r>
      <w:r w:rsidR="004925B5">
        <w:t>a Regulat</w:t>
      </w:r>
      <w:r w:rsidR="00DA6F19">
        <w:t>ion</w:t>
      </w:r>
      <w:r w:rsidR="004925B5">
        <w:t xml:space="preserve"> Impact Statement (RIS)</w:t>
      </w:r>
      <w:r>
        <w:t xml:space="preserve">. </w:t>
      </w:r>
    </w:p>
    <w:p w14:paraId="5CA4F52A" w14:textId="17FB82E5" w:rsidR="006E5F7C" w:rsidRDefault="00DA6F19" w:rsidP="00310FF9">
      <w:r>
        <w:t>A</w:t>
      </w:r>
      <w:r w:rsidR="006E5F7C">
        <w:t xml:space="preserve"> 2010 RIS commissioned by </w:t>
      </w:r>
      <w:r w:rsidR="006E5F7C" w:rsidRPr="00B56EA5">
        <w:t>the Victorian Department of Planning and Community Development (DPCD) on a proposal to include accessibility standards in the Victorian Appendix to the B</w:t>
      </w:r>
      <w:r w:rsidR="006E5F7C">
        <w:t>uilding Code of Australia (BCA), will be used as a starting point. It described the problem as follows:</w:t>
      </w:r>
    </w:p>
    <w:p w14:paraId="1E1D1E0C" w14:textId="77777777" w:rsidR="006E5F7C" w:rsidRPr="00B56EA5" w:rsidRDefault="006E5F7C" w:rsidP="006E5F7C">
      <w:pPr>
        <w:spacing w:before="200" w:after="160"/>
        <w:ind w:left="864" w:right="864"/>
        <w:rPr>
          <w:i/>
          <w:iCs/>
          <w:color w:val="404040" w:themeColor="text1" w:themeTint="BF"/>
        </w:rPr>
      </w:pPr>
      <w:r w:rsidRPr="00B56EA5">
        <w:rPr>
          <w:i/>
          <w:iCs/>
          <w:color w:val="404040" w:themeColor="text1" w:themeTint="BF"/>
        </w:rPr>
        <w:t>DPCD estimates that approximately 96% of new homes built in Victoria lack [visitability and adaptability] features. The omission of visitability and adaptability features is felt most sharply among people with a disability or some other form of mobility limitation. However, it can be felt by many people when their needs change. For example, their needs may change when raising small children, using crutches while recovering from an injury, or welcoming ageing parents. The whole community is affected by the reductions in quality, safety, and liveability that arise when visitability and adaptability features are not included in new housing.</w:t>
      </w:r>
      <w:r w:rsidRPr="00B56EA5">
        <w:rPr>
          <w:iCs/>
          <w:color w:val="404040" w:themeColor="text1" w:themeTint="BF"/>
          <w:vertAlign w:val="superscript"/>
        </w:rPr>
        <w:footnoteReference w:id="25"/>
      </w:r>
    </w:p>
    <w:p w14:paraId="2BC31153" w14:textId="2CC0E841" w:rsidR="006E5F7C" w:rsidRPr="006E5F7C" w:rsidRDefault="006E5F7C" w:rsidP="006E5F7C">
      <w:r w:rsidRPr="006E5F7C">
        <w:t xml:space="preserve">On the basis of </w:t>
      </w:r>
      <w:r w:rsidR="00D452FA">
        <w:t xml:space="preserve">more recent </w:t>
      </w:r>
      <w:r w:rsidRPr="006E5F7C">
        <w:t>estimates provided by LHA, which indicate that less than 5% of housing</w:t>
      </w:r>
      <w:r w:rsidR="00DA6F19">
        <w:t xml:space="preserve"> is being built to LHDG Silver l</w:t>
      </w:r>
      <w:r w:rsidRPr="006E5F7C">
        <w:t>evel specifications or above,</w:t>
      </w:r>
      <w:r w:rsidRPr="006E5F7C">
        <w:rPr>
          <w:vertAlign w:val="superscript"/>
        </w:rPr>
        <w:footnoteReference w:id="26"/>
      </w:r>
      <w:r w:rsidRPr="006E5F7C">
        <w:t xml:space="preserve"> it could reasonably be assumed that the figures used in the Victorian RIS (quoted above) are still accurate and are applicable nationally. However, these estimates do not take into account home modifications funded by the NDIS or other government programs, self-funded modifications, or the extent to which some homeowners/occupiers are able to adapt their home</w:t>
      </w:r>
      <w:r w:rsidR="00DA6F19">
        <w:t>s</w:t>
      </w:r>
      <w:r w:rsidRPr="006E5F7C">
        <w:t xml:space="preserve"> to their needs without making any changes to the building itself. As such, these estimates are not necessarily a reliable indicator of the extent of accessible housing </w:t>
      </w:r>
      <w:r w:rsidR="00353E75">
        <w:t xml:space="preserve">availability </w:t>
      </w:r>
      <w:r w:rsidRPr="006E5F7C">
        <w:t>or underlying unmet demand for accessibility features in housing.</w:t>
      </w:r>
    </w:p>
    <w:p w14:paraId="757C7198" w14:textId="14FDD0B7" w:rsidR="006E5F7C" w:rsidRPr="006E5F7C" w:rsidRDefault="006E5F7C" w:rsidP="006E5F7C">
      <w:r w:rsidRPr="006E5F7C">
        <w:t>This is a significant threshold issue against which any potenti</w:t>
      </w:r>
      <w:r w:rsidR="00885934">
        <w:t>al solution would be measured. It appears t</w:t>
      </w:r>
      <w:r w:rsidRPr="006E5F7C">
        <w:t xml:space="preserve">he extent </w:t>
      </w:r>
      <w:r w:rsidR="00353E75">
        <w:t xml:space="preserve">that </w:t>
      </w:r>
      <w:r w:rsidRPr="006E5F7C">
        <w:t xml:space="preserve">accessibility features are currently </w:t>
      </w:r>
      <w:r w:rsidR="00353E75">
        <w:t xml:space="preserve">provided </w:t>
      </w:r>
      <w:r w:rsidRPr="006E5F7C">
        <w:t xml:space="preserve">in housing is influenced by individual choices of those who </w:t>
      </w:r>
      <w:r w:rsidR="00750752">
        <w:t>design and supply</w:t>
      </w:r>
      <w:r w:rsidRPr="006E5F7C">
        <w:t xml:space="preserve"> the national housing stock rather than an aversion to their widespread adoption or a collective failure to consider future needs. Previous examinations of this issue</w:t>
      </w:r>
      <w:r w:rsidR="007A5F65">
        <w:rPr>
          <w:rStyle w:val="FootnoteReference"/>
        </w:rPr>
        <w:footnoteReference w:id="27"/>
      </w:r>
      <w:r w:rsidRPr="006E5F7C">
        <w:t xml:space="preserve"> suggest a wide variance in motivations of participants</w:t>
      </w:r>
      <w:r w:rsidR="00DA6F19">
        <w:t>.</w:t>
      </w:r>
      <w:r w:rsidRPr="006E5F7C">
        <w:t xml:space="preserve"> </w:t>
      </w:r>
      <w:r w:rsidR="00DA6F19">
        <w:t>Homeowners may</w:t>
      </w:r>
      <w:r w:rsidRPr="006E5F7C">
        <w:t xml:space="preserve"> (rationally) weigh their future accessibility needs against other preferences and delay a</w:t>
      </w:r>
      <w:r w:rsidR="00DA6F19">
        <w:t>djustment to a future point. I</w:t>
      </w:r>
      <w:r w:rsidR="00DA6F19" w:rsidRPr="006E5F7C">
        <w:t>nvestors</w:t>
      </w:r>
      <w:r w:rsidRPr="006E5F7C">
        <w:t xml:space="preserve"> and builders may view it </w:t>
      </w:r>
      <w:r w:rsidR="00353E75">
        <w:t xml:space="preserve">as </w:t>
      </w:r>
      <w:r w:rsidRPr="006E5F7C">
        <w:t>the role of government or social housing</w:t>
      </w:r>
      <w:r w:rsidRPr="006E5F7C" w:rsidDel="005F6949">
        <w:t xml:space="preserve"> </w:t>
      </w:r>
      <w:r w:rsidRPr="006E5F7C">
        <w:t xml:space="preserve">to fund adjustment and meet latent demand in the market.  </w:t>
      </w:r>
    </w:p>
    <w:p w14:paraId="421EC942" w14:textId="7ACC9785" w:rsidR="006E5F7C" w:rsidRDefault="006E5F7C" w:rsidP="006E5F7C">
      <w:r w:rsidRPr="006E5F7C">
        <w:t>Less tangible issues</w:t>
      </w:r>
      <w:r w:rsidR="00DA6F19">
        <w:t>,</w:t>
      </w:r>
      <w:r w:rsidRPr="006E5F7C">
        <w:t xml:space="preserve"> such as the extent people with disability are not able to live or work in a community of their choice</w:t>
      </w:r>
      <w:r w:rsidR="00DA6F19">
        <w:t>,</w:t>
      </w:r>
      <w:r w:rsidRPr="006E5F7C">
        <w:t xml:space="preserve"> are likely to be influenced by more recent schemes such as the NDIS. Market failure is</w:t>
      </w:r>
      <w:r w:rsidR="00DA6F19">
        <w:t>,</w:t>
      </w:r>
      <w:r w:rsidRPr="006E5F7C">
        <w:t xml:space="preserve"> therefore</w:t>
      </w:r>
      <w:r w:rsidR="00DA6F19">
        <w:t>,</w:t>
      </w:r>
      <w:r w:rsidRPr="006E5F7C">
        <w:t xml:space="preserve"> not uniform or well understood and requires further examination under contemporary policy settings focused on consumer preferences and the externalities associated with private decisions.</w:t>
      </w:r>
      <w:r w:rsidR="008C0536">
        <w:rPr>
          <w:rStyle w:val="FootnoteReference"/>
        </w:rPr>
        <w:footnoteReference w:id="28"/>
      </w:r>
      <w:r w:rsidRPr="006E5F7C">
        <w:t xml:space="preserve"> </w:t>
      </w:r>
    </w:p>
    <w:p w14:paraId="207F1801" w14:textId="19AC1E77" w:rsidR="005E47DF" w:rsidRDefault="005E47DF" w:rsidP="005E47DF">
      <w:pPr>
        <w:pStyle w:val="Heading2"/>
      </w:pPr>
      <w:r>
        <w:t>ANUHD Survey</w:t>
      </w:r>
    </w:p>
    <w:p w14:paraId="01221178" w14:textId="417922AA" w:rsidR="00294D08" w:rsidRDefault="005E47DF" w:rsidP="005E47DF">
      <w:r w:rsidRPr="005E47DF">
        <w:t xml:space="preserve">In relation to demand for accessible housing, ANUHD, who </w:t>
      </w:r>
      <w:r>
        <w:t>submitted the 2016 PFC discussed earlier</w:t>
      </w:r>
      <w:r w:rsidRPr="005E47DF">
        <w:t xml:space="preserve">, ran an online survey from </w:t>
      </w:r>
      <w:r w:rsidR="00294D08">
        <w:t>November</w:t>
      </w:r>
      <w:r w:rsidRPr="005E47DF">
        <w:t xml:space="preserve"> 2017 to February 2018 inviting individuals to share their opinions on housing accessibility issues. The survey, which was open to the public, attracted 1,329 responses mainly from homeowners/occupants who felt they or a friend or relative needed more accessible housing to live in or to enable visiting friends and family. </w:t>
      </w:r>
      <w:r w:rsidR="00294D08">
        <w:t xml:space="preserve">The </w:t>
      </w:r>
      <w:r w:rsidR="00DA4C5D">
        <w:t xml:space="preserve">online </w:t>
      </w:r>
      <w:r w:rsidR="00294D08">
        <w:t>survey was publicised by ANUHD contacting its supporters and through the ABCB providing a link on its website as a way to reach the construction industry.</w:t>
      </w:r>
    </w:p>
    <w:p w14:paraId="22E69358" w14:textId="570139F6" w:rsidR="00886E81" w:rsidRDefault="00886E81" w:rsidP="005E47DF">
      <w:r>
        <w:t xml:space="preserve">A </w:t>
      </w:r>
      <w:r w:rsidR="00CD0356">
        <w:t xml:space="preserve">full </w:t>
      </w:r>
      <w:r>
        <w:t>report of the survey's findings, which were independently analysed by Griffith University, is</w:t>
      </w:r>
      <w:r w:rsidR="00DA6F19">
        <w:t xml:space="preserve"> available on the ANUHD website.</w:t>
      </w:r>
      <w:r>
        <w:rPr>
          <w:rStyle w:val="FootnoteReference"/>
        </w:rPr>
        <w:footnoteReference w:id="29"/>
      </w:r>
      <w:r>
        <w:t xml:space="preserve"> </w:t>
      </w:r>
      <w:r w:rsidR="00DA6F19">
        <w:t>S</w:t>
      </w:r>
      <w:r>
        <w:t>ome key findings are discussed below.</w:t>
      </w:r>
    </w:p>
    <w:p w14:paraId="34D517BE" w14:textId="5133D18D" w:rsidR="005E47DF" w:rsidRDefault="005E47DF" w:rsidP="00886E81">
      <w:pPr>
        <w:pStyle w:val="ListParagraph"/>
        <w:numPr>
          <w:ilvl w:val="0"/>
          <w:numId w:val="35"/>
        </w:numPr>
        <w:spacing w:after="120"/>
        <w:ind w:left="357" w:hanging="357"/>
        <w:contextualSpacing w:val="0"/>
      </w:pPr>
      <w:r w:rsidRPr="005E47DF">
        <w:t>The survey indicated strong support among participants for improving the accessibility of housing, primarily through regulation (70% support) along with improved education and awareness (50% support).</w:t>
      </w:r>
      <w:r w:rsidR="00D45E6E">
        <w:rPr>
          <w:rStyle w:val="FootnoteReference"/>
        </w:rPr>
        <w:footnoteReference w:id="30"/>
      </w:r>
      <w:r w:rsidR="00D45E6E">
        <w:t xml:space="preserve"> This</w:t>
      </w:r>
      <w:r w:rsidR="005C38C8">
        <w:t>,</w:t>
      </w:r>
      <w:r w:rsidR="00D45E6E">
        <w:t xml:space="preserve"> however</w:t>
      </w:r>
      <w:r w:rsidR="005C38C8">
        <w:t>,</w:t>
      </w:r>
      <w:r w:rsidR="00D45E6E">
        <w:t xml:space="preserve"> may be influenced by the fact that just over 22% of respondents identified themselves as 'advocates'.</w:t>
      </w:r>
      <w:r w:rsidR="00D45E6E">
        <w:rPr>
          <w:rStyle w:val="FootnoteReference"/>
        </w:rPr>
        <w:footnoteReference w:id="31"/>
      </w:r>
    </w:p>
    <w:p w14:paraId="5E73DECE" w14:textId="5AAF9C30" w:rsidR="00294D08" w:rsidRDefault="00294D08" w:rsidP="00886E81">
      <w:pPr>
        <w:pStyle w:val="ListParagraph"/>
        <w:numPr>
          <w:ilvl w:val="0"/>
          <w:numId w:val="35"/>
        </w:numPr>
        <w:spacing w:after="120"/>
        <w:ind w:left="357" w:hanging="357"/>
        <w:contextualSpacing w:val="0"/>
      </w:pPr>
      <w:r>
        <w:t xml:space="preserve">Around 68% reported experiencing difficulty in finding 'livable' housing; 32% reported no difficulty (noting that it is unclear what portion of that 32% were </w:t>
      </w:r>
      <w:r w:rsidR="00D45E6E">
        <w:t xml:space="preserve">actually </w:t>
      </w:r>
      <w:r>
        <w:t xml:space="preserve">looking for 'livable' housing). 'Livable' housing was defined as housing that 'meets diverse needs', </w:t>
      </w:r>
      <w:r w:rsidR="009111A7">
        <w:t>'</w:t>
      </w:r>
      <w:r>
        <w:t>is affordable' and 'is in a suitable location' — therefore a broader scope tha</w:t>
      </w:r>
      <w:r w:rsidR="005C38C8">
        <w:t>n</w:t>
      </w:r>
      <w:r>
        <w:t xml:space="preserve"> just the physical characteristics of the dwelling structure.</w:t>
      </w:r>
      <w:r w:rsidR="00D45E6E">
        <w:rPr>
          <w:rStyle w:val="FootnoteReference"/>
        </w:rPr>
        <w:footnoteReference w:id="32"/>
      </w:r>
    </w:p>
    <w:p w14:paraId="47399F48" w14:textId="4B7427D0" w:rsidR="00886E81" w:rsidRPr="005E47DF" w:rsidRDefault="00EA5641" w:rsidP="00886E81">
      <w:pPr>
        <w:pStyle w:val="ListParagraph"/>
        <w:numPr>
          <w:ilvl w:val="0"/>
          <w:numId w:val="35"/>
        </w:numPr>
        <w:spacing w:after="120"/>
        <w:ind w:left="357" w:hanging="357"/>
        <w:contextualSpacing w:val="0"/>
      </w:pPr>
      <w:r>
        <w:t>Regarding the extent of the problem, the survey found that ‘[s]ome participants (6%) described building or modifying their home, or a desire to do so, to secure a suitable place to live. Other partic</w:t>
      </w:r>
      <w:r w:rsidR="00003F05">
        <w:t>i</w:t>
      </w:r>
      <w:r>
        <w:t xml:space="preserve">pants </w:t>
      </w:r>
      <w:r w:rsidR="007E6EF8">
        <w:t xml:space="preserve">felt that </w:t>
      </w:r>
      <w:r>
        <w:t>building, buying or modifying a suitable house was unaffordable (3%), or had experienced difficulty finding appropriate housing (8%)’</w:t>
      </w:r>
      <w:r w:rsidR="00704113">
        <w:t>.</w:t>
      </w:r>
      <w:r w:rsidR="00704113">
        <w:rPr>
          <w:rStyle w:val="FootnoteReference"/>
        </w:rPr>
        <w:footnoteReference w:id="33"/>
      </w:r>
      <w:r w:rsidR="00261347">
        <w:t xml:space="preserve"> </w:t>
      </w:r>
    </w:p>
    <w:p w14:paraId="13D6C0D1" w14:textId="3419E8B9" w:rsidR="00CD0356" w:rsidRPr="00CD0356" w:rsidRDefault="00CD0356" w:rsidP="00CD0356">
      <w:r w:rsidRPr="00CD0356">
        <w:t xml:space="preserve">Research undertaken in the USA suggests that there is a 60% probability that a newly built single-family detached unit will house at least one person with a disability </w:t>
      </w:r>
      <w:r>
        <w:t xml:space="preserve">(defined as mobility impairments) </w:t>
      </w:r>
      <w:r w:rsidRPr="00CD0356">
        <w:t>during its expected lifetime. If visitors are taken into account, the figure rises to 91%.</w:t>
      </w:r>
      <w:r w:rsidRPr="00CD0356">
        <w:rPr>
          <w:vertAlign w:val="superscript"/>
        </w:rPr>
        <w:footnoteReference w:id="34"/>
      </w:r>
      <w:r w:rsidRPr="00CD0356">
        <w:t xml:space="preserve"> It is understood that there </w:t>
      </w:r>
      <w:r w:rsidR="009F3378">
        <w:t>is</w:t>
      </w:r>
      <w:r w:rsidR="009F3378" w:rsidRPr="00CD0356">
        <w:t xml:space="preserve"> </w:t>
      </w:r>
      <w:r w:rsidRPr="00CD0356">
        <w:t>no similar data available specific to Australia, or for apartment buildings.</w:t>
      </w:r>
    </w:p>
    <w:p w14:paraId="46C89FED" w14:textId="651966BC" w:rsidR="005E47DF" w:rsidRPr="005E47DF" w:rsidRDefault="00CD0356" w:rsidP="00CD0356">
      <w:r w:rsidRPr="00CD0356">
        <w:t>Therefore, it will be critical for a future RIS</w:t>
      </w:r>
      <w:r w:rsidR="00DA6F19">
        <w:t>,</w:t>
      </w:r>
      <w:r w:rsidRPr="00CD0356">
        <w:t xml:space="preserve"> in considering the introduction of an accessibility standard for housing in the NCC, to be able to articulate the level of unmet demand for accessibility features.</w:t>
      </w:r>
    </w:p>
    <w:p w14:paraId="2BA50830" w14:textId="77777777" w:rsidR="006E5F7C" w:rsidRDefault="006E5F7C" w:rsidP="00310FF9"/>
    <w:p w14:paraId="6B14B559" w14:textId="77777777" w:rsidR="00962656" w:rsidRPr="00310FF9" w:rsidRDefault="00962656" w:rsidP="00310FF9"/>
    <w:p w14:paraId="5F7DAAE3" w14:textId="236FDD79" w:rsidR="000274ED" w:rsidRDefault="000274ED" w:rsidP="00C72832">
      <w:r>
        <w:br w:type="page"/>
      </w:r>
    </w:p>
    <w:p w14:paraId="2BB8D881" w14:textId="77777777" w:rsidR="0054562E" w:rsidRDefault="0054562E" w:rsidP="00D46227">
      <w:pPr>
        <w:pStyle w:val="Heading1"/>
      </w:pPr>
      <w:bookmarkStart w:id="17" w:name="_Toc525123762"/>
      <w:r>
        <w:t>Objective</w:t>
      </w:r>
      <w:bookmarkEnd w:id="17"/>
    </w:p>
    <w:p w14:paraId="4BECBC56" w14:textId="4817A5DA" w:rsidR="0054562E" w:rsidRDefault="0054562E" w:rsidP="0054562E">
      <w:r w:rsidRPr="0054562E">
        <w:t>This section provides a discussion o</w:t>
      </w:r>
      <w:r w:rsidR="009F3378">
        <w:t>n</w:t>
      </w:r>
      <w:r w:rsidRPr="0054562E">
        <w:t xml:space="preserve"> the objective of setting a minimum accessibility standard for housing. This is important because </w:t>
      </w:r>
      <w:r w:rsidR="00DA6F19">
        <w:t xml:space="preserve">the </w:t>
      </w:r>
      <w:r w:rsidRPr="0054562E">
        <w:t>definition of the objective will influence the proposed level of specification and the extent to which it should be applied. These considerations have significant implications for options, benefits and costs in the context of the NCC as a minimum necessary regulatory code</w:t>
      </w:r>
      <w:r>
        <w:t xml:space="preserve"> </w:t>
      </w:r>
      <w:r w:rsidRPr="0054562E">
        <w:t xml:space="preserve">as </w:t>
      </w:r>
      <w:r>
        <w:t>set out in</w:t>
      </w:r>
      <w:r w:rsidRPr="0054562E">
        <w:t xml:space="preserve"> the ABCB’s IGA.</w:t>
      </w:r>
    </w:p>
    <w:p w14:paraId="6E7CB6F7" w14:textId="07EE9D4C" w:rsidR="0054562E" w:rsidRDefault="0054562E" w:rsidP="0054562E">
      <w:r>
        <w:t>Importantly, the IGA requires the ABCB to:</w:t>
      </w:r>
    </w:p>
    <w:p w14:paraId="1EED1295" w14:textId="6918744C" w:rsidR="0054562E" w:rsidRDefault="00AB47F2" w:rsidP="0054562E">
      <w:pPr>
        <w:pStyle w:val="Quote"/>
      </w:pPr>
      <w:r>
        <w:t>[E]</w:t>
      </w:r>
      <w:r w:rsidR="0054562E">
        <w:t>nsure that, in determining any change to the code and the level of requirements:</w:t>
      </w:r>
    </w:p>
    <w:p w14:paraId="681524CE" w14:textId="2991C8CE" w:rsidR="0054562E" w:rsidRDefault="0054562E" w:rsidP="0054562E">
      <w:pPr>
        <w:pStyle w:val="Quote"/>
      </w:pPr>
      <w:r>
        <w:t>A.</w:t>
      </w:r>
      <w:r>
        <w:tab/>
        <w:t>there is a rigorously tested rationale;</w:t>
      </w:r>
    </w:p>
    <w:p w14:paraId="28D90B43" w14:textId="1D4A396F" w:rsidR="0054562E" w:rsidRDefault="0054562E" w:rsidP="0054562E">
      <w:pPr>
        <w:pStyle w:val="Quote"/>
      </w:pPr>
      <w:r>
        <w:t>B.</w:t>
      </w:r>
      <w:r>
        <w:tab/>
      </w:r>
      <w:r w:rsidR="00AC25DF">
        <w:t xml:space="preserve">the proposals are effective and proportional to the issues being </w:t>
      </w:r>
      <w:r w:rsidR="00AC25DF">
        <w:tab/>
        <w:t xml:space="preserve">addressed such that the code will generate benefits to society greater </w:t>
      </w:r>
      <w:r w:rsidR="00AC25DF">
        <w:tab/>
        <w:t>than the costs (that is, net benefits);</w:t>
      </w:r>
    </w:p>
    <w:p w14:paraId="438A191D" w14:textId="3A16C382" w:rsidR="00AC25DF" w:rsidRDefault="00AC25DF" w:rsidP="00AC25DF">
      <w:pPr>
        <w:pStyle w:val="Quote"/>
      </w:pPr>
      <w:r>
        <w:t>C.</w:t>
      </w:r>
      <w:r>
        <w:tab/>
        <w:t xml:space="preserve">there is no regulatory or non-regulatory alternative that would </w:t>
      </w:r>
      <w:r>
        <w:tab/>
        <w:t>generate higher net benefits; and</w:t>
      </w:r>
    </w:p>
    <w:p w14:paraId="2CB86C12" w14:textId="22BD9051" w:rsidR="00AC25DF" w:rsidRPr="00AC25DF" w:rsidRDefault="00AC25DF" w:rsidP="00AC25DF">
      <w:pPr>
        <w:pStyle w:val="Quote"/>
      </w:pPr>
      <w:r>
        <w:t>D.</w:t>
      </w:r>
      <w:r>
        <w:tab/>
        <w:t xml:space="preserve">the competitive effects of the code have been considered; and the </w:t>
      </w:r>
      <w:r>
        <w:tab/>
        <w:t>code is no more restrictive than necessary in the public interest.</w:t>
      </w:r>
      <w:r w:rsidRPr="004F23F7">
        <w:rPr>
          <w:rStyle w:val="FootnoteReference"/>
          <w:i w:val="0"/>
        </w:rPr>
        <w:footnoteReference w:id="35"/>
      </w:r>
    </w:p>
    <w:p w14:paraId="5401FBE5" w14:textId="47F03953" w:rsidR="0054562E" w:rsidRPr="0054562E" w:rsidRDefault="0054562E" w:rsidP="0054562E">
      <w:r w:rsidRPr="0054562E">
        <w:t xml:space="preserve">If the objective of setting an accessibility standard is so that people have access to housing with </w:t>
      </w:r>
      <w:r w:rsidR="00856003">
        <w:t>a</w:t>
      </w:r>
      <w:r w:rsidRPr="0054562E">
        <w:t xml:space="preserve"> minimum level of accessibility </w:t>
      </w:r>
      <w:r w:rsidR="00856003">
        <w:t xml:space="preserve">features </w:t>
      </w:r>
      <w:r w:rsidRPr="0054562E">
        <w:t xml:space="preserve">necessary, </w:t>
      </w:r>
      <w:r w:rsidR="00856003">
        <w:t>across</w:t>
      </w:r>
      <w:r w:rsidRPr="0054562E">
        <w:t xml:space="preserve"> a greater choice of accommodation options, the following considerations will be relevant:</w:t>
      </w:r>
    </w:p>
    <w:p w14:paraId="1572D2C5" w14:textId="013DA790" w:rsidR="00AC25DF" w:rsidRDefault="00AC25DF" w:rsidP="0054562E">
      <w:r>
        <w:t>(1)</w:t>
      </w:r>
      <w:r>
        <w:tab/>
        <w:t xml:space="preserve">That a clear definition of 'accessibility' is agreed upon at an early stage. That is, does </w:t>
      </w:r>
      <w:r w:rsidR="007C752E">
        <w:tab/>
      </w:r>
      <w:r>
        <w:t xml:space="preserve">accessible housing mean housing that is accessible </w:t>
      </w:r>
      <w:r w:rsidR="007C752E">
        <w:t xml:space="preserve">primarily </w:t>
      </w:r>
      <w:r>
        <w:t xml:space="preserve">to those with limited </w:t>
      </w:r>
      <w:r w:rsidR="007C752E">
        <w:tab/>
      </w:r>
      <w:r>
        <w:t xml:space="preserve">mobility, or </w:t>
      </w:r>
      <w:r w:rsidR="007C752E">
        <w:t>should it also cater to those with other impairments, such as</w:t>
      </w:r>
      <w:r w:rsidR="004F23F7">
        <w:t xml:space="preserve"> hearing or </w:t>
      </w:r>
      <w:r w:rsidR="004F23F7">
        <w:tab/>
        <w:t>vision impairments?</w:t>
      </w:r>
    </w:p>
    <w:p w14:paraId="6B29530F" w14:textId="5803C178" w:rsidR="0054562E" w:rsidRPr="0054562E" w:rsidRDefault="00AC25DF" w:rsidP="0054562E">
      <w:r>
        <w:t>(2</w:t>
      </w:r>
      <w:r w:rsidR="0054562E" w:rsidRPr="0054562E">
        <w:t>)</w:t>
      </w:r>
      <w:r w:rsidR="0054562E" w:rsidRPr="0054562E">
        <w:tab/>
        <w:t xml:space="preserve">That any specification adopted addresses accessibility features that are essential, not </w:t>
      </w:r>
      <w:r w:rsidR="0054562E" w:rsidRPr="0054562E">
        <w:tab/>
        <w:t>just desirable or best practice</w:t>
      </w:r>
      <w:r w:rsidR="007C752E">
        <w:t>, to meet that agreed definition</w:t>
      </w:r>
      <w:r w:rsidR="0054562E" w:rsidRPr="0054562E">
        <w:t>.</w:t>
      </w:r>
    </w:p>
    <w:p w14:paraId="2B64629B" w14:textId="2D72195E" w:rsidR="0054562E" w:rsidRPr="0054562E" w:rsidRDefault="00AC25DF" w:rsidP="00A251A0">
      <w:pPr>
        <w:ind w:left="720" w:hanging="720"/>
      </w:pPr>
      <w:r>
        <w:t>(3</w:t>
      </w:r>
      <w:r w:rsidR="0054562E" w:rsidRPr="0054562E">
        <w:t>)</w:t>
      </w:r>
      <w:r w:rsidR="0054562E" w:rsidRPr="0054562E">
        <w:tab/>
        <w:t xml:space="preserve">That such a specification is applied in a way </w:t>
      </w:r>
      <w:r w:rsidR="00A251A0">
        <w:t xml:space="preserve">that </w:t>
      </w:r>
      <w:r w:rsidR="00DA6F19">
        <w:t>achieves a positive cost-</w:t>
      </w:r>
      <w:r w:rsidR="007C752E">
        <w:t>benefit to home buyers and the community</w:t>
      </w:r>
      <w:r w:rsidR="0054562E" w:rsidRPr="0054562E">
        <w:t>.</w:t>
      </w:r>
    </w:p>
    <w:p w14:paraId="72667712" w14:textId="7613AB2F" w:rsidR="007C752E" w:rsidRDefault="007C752E" w:rsidP="0054562E">
      <w:r>
        <w:t xml:space="preserve">There are many different definitions of accessibility in use across government, the building industry, community housing providers, and the general public. Therefore, in attempting to determine appropriate accessibility features for consideration to be included in the NCC, a decision must be made on the extent of accessibility to be addressed — whether this is primarily related to mobility or encompasses a broader scope of accessibility issues. </w:t>
      </w:r>
    </w:p>
    <w:p w14:paraId="6E465F4C" w14:textId="495CC05B" w:rsidR="00E80CB3" w:rsidRDefault="00E80CB3" w:rsidP="0054562E">
      <w:r>
        <w:t xml:space="preserve">On the basis of the BMF direction that the LHDG Silver and Gold </w:t>
      </w:r>
      <w:r w:rsidR="009F3378">
        <w:t>l</w:t>
      </w:r>
      <w:r>
        <w:t xml:space="preserve">evel specifications should be considered as </w:t>
      </w:r>
      <w:r w:rsidR="00AB47F2">
        <w:t xml:space="preserve">two possible </w:t>
      </w:r>
      <w:r>
        <w:t>options for a minimum accessibility standard,</w:t>
      </w:r>
      <w:r>
        <w:rPr>
          <w:rStyle w:val="FootnoteReference"/>
        </w:rPr>
        <w:footnoteReference w:id="36"/>
      </w:r>
      <w:r>
        <w:t xml:space="preserve"> addressing mobility-related issues is the primary objective.</w:t>
      </w:r>
    </w:p>
    <w:p w14:paraId="4527AD66" w14:textId="77777777" w:rsidR="0054562E" w:rsidRPr="0054562E" w:rsidRDefault="0054562E" w:rsidP="0054562E">
      <w:r w:rsidRPr="0054562E">
        <w:t xml:space="preserve">The level of specification for an accessibility standard is discussed in detail under the section 'Options for NCC Amendment', while the extent of application of such a standard will be influenced by the objectives of the proposal. The practical considerations are discussed under the section 'Application'. </w:t>
      </w:r>
    </w:p>
    <w:p w14:paraId="1E33FAC6" w14:textId="1BA06E3C" w:rsidR="0054562E" w:rsidRPr="0054562E" w:rsidRDefault="0054562E" w:rsidP="0054562E">
      <w:r w:rsidRPr="0054562E">
        <w:t>The aim of these two sections is to describe the relationship between objectives and options, and stimulate discussion toward</w:t>
      </w:r>
      <w:r w:rsidR="00A251A0">
        <w:t>s</w:t>
      </w:r>
      <w:r w:rsidRPr="0054562E">
        <w:t xml:space="preserve"> identifying a</w:t>
      </w:r>
      <w:r w:rsidR="00A251A0">
        <w:t xml:space="preserve"> building</w:t>
      </w:r>
      <w:r w:rsidRPr="0054562E">
        <w:t xml:space="preserve"> accessibility standard that covers what is essential and is applied to an extent that is adequate to achieve the objective.</w:t>
      </w:r>
    </w:p>
    <w:p w14:paraId="58AA1B91" w14:textId="44895EB3" w:rsidR="00AF65AD" w:rsidRDefault="0054562E" w:rsidP="0054562E">
      <w:r w:rsidRPr="0054562E">
        <w:t>Unlike commercial building accessibility, the objective does not focus on avoiding discrimination. Private housing is not covered by the DDA and</w:t>
      </w:r>
      <w:r w:rsidR="00DA6F19">
        <w:t>,</w:t>
      </w:r>
      <w:r w:rsidRPr="0054562E">
        <w:t xml:space="preserve"> as such</w:t>
      </w:r>
      <w:r w:rsidR="00DA6F19">
        <w:t>,</w:t>
      </w:r>
      <w:r w:rsidRPr="0054562E">
        <w:t xml:space="preserve"> there is not a general right of access to private homes in the way that such a right exists for public buildings under the DDA.</w:t>
      </w:r>
    </w:p>
    <w:p w14:paraId="7203E6AA" w14:textId="77777777" w:rsidR="00AF65AD" w:rsidRDefault="00AF65AD">
      <w:pPr>
        <w:jc w:val="left"/>
      </w:pPr>
      <w:r>
        <w:br w:type="page"/>
      </w:r>
    </w:p>
    <w:p w14:paraId="570F291A" w14:textId="77777777" w:rsidR="00E9622D" w:rsidRPr="00E9622D" w:rsidRDefault="00E9622D" w:rsidP="00754726">
      <w:pPr>
        <w:pStyle w:val="Heading1"/>
      </w:pPr>
      <w:bookmarkStart w:id="18" w:name="_Toc513561531"/>
      <w:bookmarkStart w:id="19" w:name="_Toc525123763"/>
      <w:r w:rsidRPr="00E9622D">
        <w:t>An Accessibility Standard for Housing</w:t>
      </w:r>
      <w:bookmarkEnd w:id="18"/>
      <w:bookmarkEnd w:id="19"/>
    </w:p>
    <w:p w14:paraId="7BA8BD3B" w14:textId="1A485E06" w:rsidR="00E9622D" w:rsidRPr="00E9622D" w:rsidRDefault="00E9622D" w:rsidP="00E9622D">
      <w:r w:rsidRPr="00E9622D">
        <w:t xml:space="preserve">This </w:t>
      </w:r>
      <w:r w:rsidR="004F23F7">
        <w:t>section</w:t>
      </w:r>
      <w:r w:rsidRPr="00E9622D">
        <w:t xml:space="preserve"> outlines the scope and policy parameters for a proposed accessibility standard for housing. The Scope section defines 'housing' for the purposes of the </w:t>
      </w:r>
      <w:r>
        <w:t>Options Paper</w:t>
      </w:r>
      <w:r w:rsidRPr="00E9622D">
        <w:t xml:space="preserve">. The Policy Parameters section explains the objectives of the proposal, along with the policy considerations that will be used in assessing the merits of each option.  </w:t>
      </w:r>
    </w:p>
    <w:p w14:paraId="13708B21" w14:textId="77777777" w:rsidR="00E9622D" w:rsidRPr="00E9622D" w:rsidRDefault="00E9622D" w:rsidP="00E9622D">
      <w:pPr>
        <w:keepNext/>
        <w:keepLines/>
        <w:spacing w:before="200" w:after="0"/>
        <w:outlineLvl w:val="1"/>
        <w:rPr>
          <w:rFonts w:asciiTheme="majorHAnsi" w:eastAsiaTheme="majorEastAsia" w:hAnsiTheme="majorHAnsi" w:cstheme="majorBidi"/>
          <w:b/>
          <w:bCs/>
          <w:color w:val="002060"/>
          <w:sz w:val="32"/>
          <w:szCs w:val="26"/>
        </w:rPr>
      </w:pPr>
      <w:bookmarkStart w:id="20" w:name="_Toc512593513"/>
      <w:r w:rsidRPr="00E9622D">
        <w:rPr>
          <w:rFonts w:asciiTheme="majorHAnsi" w:eastAsiaTheme="majorEastAsia" w:hAnsiTheme="majorHAnsi" w:cstheme="majorBidi"/>
          <w:b/>
          <w:bCs/>
          <w:color w:val="002060"/>
          <w:sz w:val="32"/>
          <w:szCs w:val="26"/>
        </w:rPr>
        <w:t>Scope</w:t>
      </w:r>
      <w:bookmarkEnd w:id="20"/>
    </w:p>
    <w:p w14:paraId="5F962CDB" w14:textId="1D387190" w:rsidR="00E9622D" w:rsidRPr="00E9622D" w:rsidRDefault="00E9622D" w:rsidP="00E9622D">
      <w:r w:rsidRPr="00E9622D">
        <w:t>This Options Paper will consider the application of a minimum</w:t>
      </w:r>
      <w:r w:rsidR="00A251A0" w:rsidRPr="00A251A0">
        <w:t xml:space="preserve"> </w:t>
      </w:r>
      <w:r w:rsidR="00A251A0">
        <w:t>building</w:t>
      </w:r>
      <w:r w:rsidRPr="00E9622D">
        <w:t xml:space="preserve"> standard for accessibility to the following types of </w:t>
      </w:r>
      <w:r w:rsidR="00A251A0">
        <w:t>construction</w:t>
      </w:r>
      <w:r w:rsidRPr="00E9622D">
        <w:t>:</w:t>
      </w:r>
    </w:p>
    <w:p w14:paraId="1F43AC6C" w14:textId="77777777" w:rsidR="00E9622D" w:rsidRPr="00E9622D" w:rsidRDefault="00E9622D" w:rsidP="00E9622D">
      <w:pPr>
        <w:numPr>
          <w:ilvl w:val="0"/>
          <w:numId w:val="6"/>
        </w:numPr>
      </w:pPr>
      <w:r w:rsidRPr="00E9622D">
        <w:rPr>
          <w:u w:val="single"/>
        </w:rPr>
        <w:t>Single dwellings</w:t>
      </w:r>
      <w:r w:rsidRPr="008373A9">
        <w:t xml:space="preserve"> </w:t>
      </w:r>
      <w:r w:rsidRPr="00E9622D">
        <w:t>— such as detached houses, row houses, townhouses, villa units and the like. These are referred to in the NCC as Class 1a buildings.</w:t>
      </w:r>
    </w:p>
    <w:p w14:paraId="023A5D11" w14:textId="77777777" w:rsidR="00E9622D" w:rsidRPr="00E9622D" w:rsidRDefault="00E9622D" w:rsidP="00E9622D">
      <w:pPr>
        <w:numPr>
          <w:ilvl w:val="0"/>
          <w:numId w:val="6"/>
        </w:numPr>
      </w:pPr>
      <w:r w:rsidRPr="00E9622D">
        <w:rPr>
          <w:u w:val="single"/>
        </w:rPr>
        <w:t>Multi-storey residential apartments</w:t>
      </w:r>
      <w:r w:rsidRPr="00E9622D">
        <w:t xml:space="preserve"> — referred to in the NCC as Class 2 sole occupancy units in multi storey buildings.</w:t>
      </w:r>
      <w:r w:rsidRPr="00E9622D">
        <w:rPr>
          <w:vertAlign w:val="superscript"/>
        </w:rPr>
        <w:footnoteReference w:id="37"/>
      </w:r>
    </w:p>
    <w:p w14:paraId="141100A3" w14:textId="3F97FE5C" w:rsidR="00E9622D" w:rsidRPr="00E9622D" w:rsidRDefault="00E9622D" w:rsidP="00E9622D">
      <w:r w:rsidRPr="00E9622D">
        <w:t xml:space="preserve">Other types of building that may also be used for accommodation are excluded from the scope of the Options Paper because they are either already subject to accessibility requirements under the NCC (e.g. Class 1b accommodation buildings, hotels, aged care buildings), or are intended only for a specific occupancy such as staff or caretaker's dwellings. This scope was agreed to by </w:t>
      </w:r>
      <w:r w:rsidR="00A251A0">
        <w:t>the BMF</w:t>
      </w:r>
      <w:r w:rsidRPr="00E9622D">
        <w:t xml:space="preserve"> in April 2018.</w:t>
      </w:r>
      <w:r w:rsidRPr="00E9622D">
        <w:rPr>
          <w:vertAlign w:val="superscript"/>
        </w:rPr>
        <w:footnoteReference w:id="38"/>
      </w:r>
    </w:p>
    <w:p w14:paraId="4AC277B2" w14:textId="4C9D6E9A" w:rsidR="00E9622D" w:rsidRPr="00E9622D" w:rsidRDefault="009F3378" w:rsidP="00E9622D">
      <w:r>
        <w:t>Changes to the NCC for</w:t>
      </w:r>
      <w:r w:rsidR="00E9622D" w:rsidRPr="00E9622D">
        <w:t xml:space="preserve"> accessib</w:t>
      </w:r>
      <w:r>
        <w:t>le</w:t>
      </w:r>
      <w:r w:rsidR="00E9622D" w:rsidRPr="00E9622D">
        <w:t xml:space="preserve"> housing </w:t>
      </w:r>
      <w:r w:rsidR="00AB47F2">
        <w:t xml:space="preserve">would </w:t>
      </w:r>
      <w:r>
        <w:t xml:space="preserve">not apply to </w:t>
      </w:r>
      <w:r w:rsidR="00AB47F2">
        <w:t>any part of a Class </w:t>
      </w:r>
      <w:r w:rsidR="00E9622D" w:rsidRPr="00E9622D">
        <w:t>2 building that is already covered by the Access to Premises Standards (as described under 'Current Situation').</w:t>
      </w:r>
    </w:p>
    <w:p w14:paraId="2176D18A" w14:textId="77777777" w:rsidR="00E9622D" w:rsidRPr="00E9622D" w:rsidRDefault="00E9622D" w:rsidP="00E9622D">
      <w:pPr>
        <w:keepNext/>
        <w:keepLines/>
        <w:spacing w:before="200" w:after="0"/>
        <w:outlineLvl w:val="1"/>
        <w:rPr>
          <w:rFonts w:asciiTheme="majorHAnsi" w:eastAsiaTheme="majorEastAsia" w:hAnsiTheme="majorHAnsi" w:cstheme="majorBidi"/>
          <w:b/>
          <w:bCs/>
          <w:color w:val="002060"/>
          <w:sz w:val="32"/>
          <w:szCs w:val="26"/>
        </w:rPr>
      </w:pPr>
      <w:bookmarkStart w:id="21" w:name="_Toc512593514"/>
      <w:r w:rsidRPr="00E9622D">
        <w:rPr>
          <w:rFonts w:asciiTheme="majorHAnsi" w:eastAsiaTheme="majorEastAsia" w:hAnsiTheme="majorHAnsi" w:cstheme="majorBidi"/>
          <w:b/>
          <w:bCs/>
          <w:color w:val="002060"/>
          <w:sz w:val="32"/>
          <w:szCs w:val="26"/>
        </w:rPr>
        <w:t>Policy Parameters</w:t>
      </w:r>
      <w:bookmarkEnd w:id="21"/>
    </w:p>
    <w:p w14:paraId="665167DB" w14:textId="03B8C774" w:rsidR="00E9622D" w:rsidRPr="00E9622D" w:rsidRDefault="007964FD" w:rsidP="00E9622D">
      <w:r>
        <w:t xml:space="preserve">As agreed by </w:t>
      </w:r>
      <w:r w:rsidR="00A251A0">
        <w:t>the BMF</w:t>
      </w:r>
      <w:r w:rsidR="00DB371B">
        <w:t>,</w:t>
      </w:r>
      <w:r w:rsidR="00885934">
        <w:rPr>
          <w:rStyle w:val="FootnoteReference"/>
        </w:rPr>
        <w:footnoteReference w:id="39"/>
      </w:r>
      <w:r w:rsidR="00DB371B">
        <w:t xml:space="preserve"> t</w:t>
      </w:r>
      <w:r w:rsidR="00E9622D" w:rsidRPr="00E9622D">
        <w:t xml:space="preserve">he policy parameters to be used </w:t>
      </w:r>
      <w:r w:rsidR="005354AB">
        <w:t>for this</w:t>
      </w:r>
      <w:r w:rsidR="00E9622D" w:rsidRPr="00E9622D">
        <w:t xml:space="preserve"> analysis on the potential inclusion</w:t>
      </w:r>
      <w:r w:rsidR="005354AB">
        <w:t xml:space="preserve"> of</w:t>
      </w:r>
      <w:r w:rsidR="00E9622D" w:rsidRPr="00E9622D">
        <w:t xml:space="preserve"> a minimum </w:t>
      </w:r>
      <w:r w:rsidR="005354AB">
        <w:t xml:space="preserve">necessary </w:t>
      </w:r>
      <w:r w:rsidR="00E9622D" w:rsidRPr="00E9622D">
        <w:t xml:space="preserve">accessibility standard for </w:t>
      </w:r>
      <w:r w:rsidR="005354AB">
        <w:t xml:space="preserve">all new </w:t>
      </w:r>
      <w:r w:rsidR="00E9622D" w:rsidRPr="00E9622D">
        <w:t>housing in the NCC</w:t>
      </w:r>
      <w:r w:rsidR="005354AB">
        <w:t xml:space="preserve"> will be</w:t>
      </w:r>
      <w:r w:rsidR="00DA6F19">
        <w:t xml:space="preserve"> the following</w:t>
      </w:r>
      <w:r w:rsidR="005354AB">
        <w:t>:</w:t>
      </w:r>
    </w:p>
    <w:p w14:paraId="5C0A3CC2" w14:textId="16484B1B" w:rsidR="00E9622D" w:rsidRPr="00E9622D" w:rsidRDefault="00E9622D" w:rsidP="00E9622D">
      <w:pPr>
        <w:numPr>
          <w:ilvl w:val="0"/>
          <w:numId w:val="21"/>
        </w:numPr>
      </w:pPr>
      <w:r w:rsidRPr="00E9622D">
        <w:t xml:space="preserve">Safety and health; amenity and accessibility; and sustainability </w:t>
      </w:r>
      <w:r w:rsidR="005354AB">
        <w:t>as the</w:t>
      </w:r>
      <w:r w:rsidRPr="00E9622D">
        <w:t xml:space="preserve"> primary objectives</w:t>
      </w:r>
      <w:r w:rsidR="00FF62A2">
        <w:t xml:space="preserve"> of the NCC</w:t>
      </w:r>
      <w:r w:rsidRPr="00E9622D">
        <w:t>.</w:t>
      </w:r>
    </w:p>
    <w:p w14:paraId="0FC9D684" w14:textId="2F73114B" w:rsidR="00E9622D" w:rsidRPr="00E9622D" w:rsidRDefault="00F6553B" w:rsidP="00E9622D">
      <w:pPr>
        <w:numPr>
          <w:ilvl w:val="0"/>
          <w:numId w:val="21"/>
        </w:numPr>
      </w:pPr>
      <w:r>
        <w:t>NCC t</w:t>
      </w:r>
      <w:r w:rsidR="00E9622D" w:rsidRPr="00E9622D">
        <w:t xml:space="preserve">echnical </w:t>
      </w:r>
      <w:r>
        <w:t>requirements</w:t>
      </w:r>
      <w:r w:rsidRPr="00E9622D">
        <w:t xml:space="preserve"> </w:t>
      </w:r>
      <w:r w:rsidR="00E9622D" w:rsidRPr="00E9622D">
        <w:t>will be the minimum necessary to achieve these objectives.</w:t>
      </w:r>
    </w:p>
    <w:p w14:paraId="4D3738FB" w14:textId="4C41FC39" w:rsidR="00E9622D" w:rsidRDefault="00E9622D" w:rsidP="00E9622D">
      <w:pPr>
        <w:numPr>
          <w:ilvl w:val="0"/>
          <w:numId w:val="21"/>
        </w:numPr>
      </w:pPr>
      <w:r w:rsidRPr="00E9622D">
        <w:t>The analysis will also take into consideration other relevant policy objectives, such as the National Disability Strategy, enabling ageing in place, reducing social exclusion and reducing the costs of providing specialist accommodation.</w:t>
      </w:r>
    </w:p>
    <w:p w14:paraId="653A53F4" w14:textId="3CC2635E" w:rsidR="00354BC7" w:rsidRDefault="00E9622D" w:rsidP="00145C8A">
      <w:pPr>
        <w:numPr>
          <w:ilvl w:val="0"/>
          <w:numId w:val="21"/>
        </w:numPr>
      </w:pPr>
      <w:r w:rsidRPr="00E9622D">
        <w:t xml:space="preserve">The </w:t>
      </w:r>
      <w:r w:rsidR="00F6553B">
        <w:t>NCC requirements</w:t>
      </w:r>
      <w:r w:rsidR="00F6553B" w:rsidRPr="00E9622D">
        <w:t xml:space="preserve"> </w:t>
      </w:r>
      <w:r w:rsidRPr="00E9622D">
        <w:t>will be capable of being applied to</w:t>
      </w:r>
      <w:r w:rsidR="00DA6F19">
        <w:t xml:space="preserve"> all new dwellings, variations i</w:t>
      </w:r>
      <w:r w:rsidRPr="00E9622D">
        <w:t xml:space="preserve">n costings for which will be tested through the Regulation Impact </w:t>
      </w:r>
      <w:r w:rsidR="00F6553B">
        <w:t>Analysis</w:t>
      </w:r>
      <w:r w:rsidR="00C46104">
        <w:t xml:space="preserve"> (RIA)</w:t>
      </w:r>
      <w:r w:rsidR="00F6553B" w:rsidRPr="00E9622D">
        <w:t xml:space="preserve"> </w:t>
      </w:r>
      <w:r w:rsidRPr="00E9622D">
        <w:t>(note: the concept of a quota is a planning construct not regulated through the NCC).</w:t>
      </w:r>
      <w:r w:rsidR="00DA6F19">
        <w:t xml:space="preserve"> Variations i</w:t>
      </w:r>
      <w:r w:rsidR="007964FD">
        <w:t xml:space="preserve">n application will also be tested through the </w:t>
      </w:r>
      <w:r w:rsidR="00F6553B">
        <w:t>analysis</w:t>
      </w:r>
      <w:r w:rsidR="007964FD">
        <w:t>.</w:t>
      </w:r>
    </w:p>
    <w:p w14:paraId="790FBA73" w14:textId="6A253055" w:rsidR="003B356A" w:rsidRDefault="003B356A" w:rsidP="003B356A">
      <w:pPr>
        <w:pStyle w:val="Heading2"/>
      </w:pPr>
      <w:r>
        <w:t>Assessment of Costs and Benefits</w:t>
      </w:r>
    </w:p>
    <w:p w14:paraId="6C03D592" w14:textId="603CA2DB" w:rsidR="003B356A" w:rsidRDefault="003B356A" w:rsidP="003B356A">
      <w:r>
        <w:t>The costs of each possible option will be estimated with the expertise of a qualified Qu</w:t>
      </w:r>
      <w:r w:rsidR="0085186E">
        <w:t>antity Surveyo</w:t>
      </w:r>
      <w:r w:rsidR="00EF57BE">
        <w:t>r</w:t>
      </w:r>
      <w:r>
        <w:t xml:space="preserve">. </w:t>
      </w:r>
      <w:r w:rsidR="007904EE">
        <w:t>P</w:t>
      </w:r>
      <w:r>
        <w:t>reliminary costings ha</w:t>
      </w:r>
      <w:r w:rsidR="007904EE">
        <w:t>ve</w:t>
      </w:r>
      <w:r>
        <w:t xml:space="preserve"> been developed for the purposes of this Options Paper. Detailed costings will be undertaken as part of the RIS process</w:t>
      </w:r>
      <w:r w:rsidR="00A251A0">
        <w:t xml:space="preserve"> having regard to any relevant information </w:t>
      </w:r>
      <w:r w:rsidR="00670191">
        <w:t>elicited</w:t>
      </w:r>
      <w:r w:rsidR="0085186E">
        <w:t xml:space="preserve"> through responses to this pap</w:t>
      </w:r>
      <w:r w:rsidR="00A251A0">
        <w:t>er</w:t>
      </w:r>
      <w:r>
        <w:t>.</w:t>
      </w:r>
    </w:p>
    <w:p w14:paraId="01C87BA1" w14:textId="58109129" w:rsidR="003B356A" w:rsidRDefault="00FB7181" w:rsidP="003B356A">
      <w:r>
        <w:t>The primary benefits from an increase in accessible housing are avoided costs of adapting housing for future occupants. These benefits will accumulate over the very long term</w:t>
      </w:r>
      <w:r w:rsidR="00440B42">
        <w:t xml:space="preserve"> and are difficult to predict an</w:t>
      </w:r>
      <w:r w:rsidR="00F6553B">
        <w:t>d</w:t>
      </w:r>
      <w:r w:rsidR="00440B42">
        <w:t xml:space="preserve"> quantify without formal assessment. The benefits may be highly sensitive to the chosen discount rate. A central discount rate of 7% will be used with outcomes also tested using a 3% and 11% rate, in line with Office of Best Practice Regulation (OBPR) requirements.</w:t>
      </w:r>
    </w:p>
    <w:p w14:paraId="3C0C7953" w14:textId="2DF0027F" w:rsidR="00440B42" w:rsidRPr="003B356A" w:rsidRDefault="00440B42" w:rsidP="003B356A">
      <w:r>
        <w:t>Consideration of the benefits of accessible housing will also take into account social benefits, such as reducing social isolation, ability to age in the community, independent living and averted pressure on specialist housing.</w:t>
      </w:r>
      <w:r w:rsidR="00D621B2" w:rsidRPr="00D621B2">
        <w:t xml:space="preserve"> </w:t>
      </w:r>
      <w:r w:rsidR="00D621B2">
        <w:t>Detailed assessment of potential benefits will also be undertaken as part of the RIS process.</w:t>
      </w:r>
    </w:p>
    <w:p w14:paraId="10741E68" w14:textId="77777777" w:rsidR="007964FD" w:rsidRDefault="007964FD">
      <w:pPr>
        <w:jc w:val="left"/>
      </w:pPr>
      <w:r>
        <w:br w:type="page"/>
      </w:r>
    </w:p>
    <w:p w14:paraId="47F8837B" w14:textId="52A0172D" w:rsidR="007964FD" w:rsidRPr="007964FD" w:rsidRDefault="008C334D" w:rsidP="00754726">
      <w:pPr>
        <w:pStyle w:val="Heading1"/>
      </w:pPr>
      <w:bookmarkStart w:id="22" w:name="_Toc512593515"/>
      <w:bookmarkStart w:id="23" w:name="_Toc513561532"/>
      <w:bookmarkStart w:id="24" w:name="_Toc525123764"/>
      <w:r>
        <w:t>Possible O</w:t>
      </w:r>
      <w:r w:rsidR="007964FD" w:rsidRPr="007964FD">
        <w:t>ptions for NCC Amendment</w:t>
      </w:r>
      <w:bookmarkEnd w:id="22"/>
      <w:bookmarkEnd w:id="23"/>
      <w:bookmarkEnd w:id="24"/>
    </w:p>
    <w:p w14:paraId="23D8E871" w14:textId="1F5594EF" w:rsidR="007964FD" w:rsidRDefault="007964FD" w:rsidP="007964FD">
      <w:r w:rsidRPr="007964FD">
        <w:t xml:space="preserve">This </w:t>
      </w:r>
      <w:r w:rsidR="004F23F7">
        <w:t>section</w:t>
      </w:r>
      <w:r w:rsidRPr="007964FD">
        <w:t xml:space="preserve"> provides an overview of possible options for amending the NCC to set a minimum accessibility standard for housing.</w:t>
      </w:r>
    </w:p>
    <w:p w14:paraId="7AE22271" w14:textId="5926BECC" w:rsidR="008E0183" w:rsidRDefault="007964FD" w:rsidP="007964FD">
      <w:r>
        <w:t xml:space="preserve">The BMF </w:t>
      </w:r>
      <w:r w:rsidR="004E4D29">
        <w:t xml:space="preserve">has </w:t>
      </w:r>
      <w:r>
        <w:t xml:space="preserve">agreed that consideration must be given to the LHDG Silver and Gold </w:t>
      </w:r>
      <w:r w:rsidR="004E4D29">
        <w:t>l</w:t>
      </w:r>
      <w:r>
        <w:t>evel specifications as potential minimum options</w:t>
      </w:r>
      <w:r w:rsidR="009E7C4C">
        <w:t xml:space="preserve"> while also leaving some flexibility for other</w:t>
      </w:r>
      <w:r>
        <w:t xml:space="preserve"> possible options t</w:t>
      </w:r>
      <w:r w:rsidR="009E7C4C">
        <w:t>o be identified and</w:t>
      </w:r>
      <w:r>
        <w:t xml:space="preserve"> considered. </w:t>
      </w:r>
    </w:p>
    <w:p w14:paraId="18D8925B" w14:textId="435C64E0" w:rsidR="007964FD" w:rsidRPr="007964FD" w:rsidRDefault="008E0183" w:rsidP="007964FD">
      <w:r>
        <w:t xml:space="preserve">One of the key purposes of the Options Paper is to </w:t>
      </w:r>
      <w:r w:rsidR="008C334D">
        <w:t>stimulate discussion and feedback</w:t>
      </w:r>
      <w:r w:rsidR="007E6F0B">
        <w:t>,</w:t>
      </w:r>
      <w:r w:rsidR="008C334D">
        <w:t xml:space="preserve"> which will assist in </w:t>
      </w:r>
      <w:r w:rsidR="00720522">
        <w:t xml:space="preserve">identifying and </w:t>
      </w:r>
      <w:r w:rsidR="008C334D">
        <w:t xml:space="preserve">developing feasible, practical and effective options for consideration as part of the RIS. </w:t>
      </w:r>
    </w:p>
    <w:p w14:paraId="5359F9F6" w14:textId="062E9A53" w:rsidR="007964FD" w:rsidRPr="007964FD" w:rsidRDefault="008C334D" w:rsidP="007964FD">
      <w:r>
        <w:t xml:space="preserve">A preliminary list of possible options for NCC amendment has been developed. These </w:t>
      </w:r>
      <w:r w:rsidR="007964FD" w:rsidRPr="007964FD">
        <w:t>options are numbered as follows:</w:t>
      </w:r>
    </w:p>
    <w:p w14:paraId="3DD73413" w14:textId="7044ABC1" w:rsidR="007964FD" w:rsidRPr="007964FD" w:rsidRDefault="007964FD" w:rsidP="007964FD">
      <w:pPr>
        <w:numPr>
          <w:ilvl w:val="0"/>
          <w:numId w:val="22"/>
        </w:numPr>
        <w:spacing w:after="120"/>
        <w:ind w:left="357" w:hanging="357"/>
      </w:pPr>
      <w:r w:rsidRPr="007964FD">
        <w:t>Option 1 –</w:t>
      </w:r>
      <w:r w:rsidR="00003F05">
        <w:t xml:space="preserve"> </w:t>
      </w:r>
      <w:r w:rsidR="00C45CE2">
        <w:t xml:space="preserve">LHDG Silver </w:t>
      </w:r>
      <w:r w:rsidR="00670191">
        <w:t xml:space="preserve">Level </w:t>
      </w:r>
      <w:r w:rsidR="00C45CE2">
        <w:t>(5 Elements)</w:t>
      </w:r>
      <w:r w:rsidRPr="007964FD">
        <w:t>.</w:t>
      </w:r>
    </w:p>
    <w:p w14:paraId="03F5915A" w14:textId="4F2E2B79" w:rsidR="007964FD" w:rsidRPr="007964FD" w:rsidRDefault="007964FD" w:rsidP="007964FD">
      <w:pPr>
        <w:numPr>
          <w:ilvl w:val="0"/>
          <w:numId w:val="22"/>
        </w:numPr>
        <w:spacing w:after="120"/>
        <w:ind w:left="357" w:hanging="357"/>
      </w:pPr>
      <w:r w:rsidRPr="007964FD">
        <w:t>Option 2 – LHDG Silver Level</w:t>
      </w:r>
      <w:r w:rsidR="00C45CE2">
        <w:t xml:space="preserve"> (7 Elements)</w:t>
      </w:r>
      <w:r w:rsidRPr="007964FD">
        <w:t>.</w:t>
      </w:r>
    </w:p>
    <w:p w14:paraId="4697F7C0" w14:textId="119148F7" w:rsidR="000D5343" w:rsidRDefault="007964FD" w:rsidP="00885934">
      <w:pPr>
        <w:numPr>
          <w:ilvl w:val="0"/>
          <w:numId w:val="22"/>
        </w:numPr>
        <w:spacing w:after="120"/>
        <w:ind w:left="357" w:hanging="357"/>
      </w:pPr>
      <w:r w:rsidRPr="007964FD">
        <w:t>Option 3 – LHDG Gold Level</w:t>
      </w:r>
      <w:r w:rsidR="00F77683">
        <w:t xml:space="preserve"> (12 Elements)</w:t>
      </w:r>
      <w:r w:rsidRPr="007964FD">
        <w:t>.</w:t>
      </w:r>
    </w:p>
    <w:p w14:paraId="7BCE6968" w14:textId="5BE58C67" w:rsidR="00885934" w:rsidRPr="00CD38D1" w:rsidRDefault="00CD38D1" w:rsidP="00CD38D1">
      <w:pPr>
        <w:pBdr>
          <w:top w:val="single" w:sz="4" w:space="1" w:color="auto"/>
          <w:left w:val="single" w:sz="4" w:space="4" w:color="auto"/>
          <w:bottom w:val="single" w:sz="4" w:space="1" w:color="auto"/>
          <w:right w:val="single" w:sz="4" w:space="4" w:color="auto"/>
        </w:pBdr>
        <w:spacing w:after="120"/>
      </w:pPr>
      <w:r w:rsidRPr="00CD38D1">
        <w:rPr>
          <w:b/>
        </w:rPr>
        <w:t>Note</w:t>
      </w:r>
      <w:r w:rsidRPr="00CD38D1">
        <w:t xml:space="preserve">: </w:t>
      </w:r>
      <w:r w:rsidR="00885934" w:rsidRPr="00CD38D1">
        <w:t xml:space="preserve"> </w:t>
      </w:r>
      <w:r w:rsidRPr="00CD38D1">
        <w:t>T</w:t>
      </w:r>
      <w:r w:rsidR="00885934" w:rsidRPr="00CD38D1">
        <w:t xml:space="preserve">his list is not intended to be definitive or to </w:t>
      </w:r>
      <w:r w:rsidR="0052056C" w:rsidRPr="00CD38D1">
        <w:t xml:space="preserve">in any way </w:t>
      </w:r>
      <w:r w:rsidR="00885934" w:rsidRPr="00CD38D1">
        <w:t>limit the range of possible options to be considered.</w:t>
      </w:r>
    </w:p>
    <w:p w14:paraId="7C55747C" w14:textId="43615541" w:rsidR="000D5343" w:rsidRDefault="00FF62A2" w:rsidP="007964FD">
      <w:r>
        <w:t>Some a</w:t>
      </w:r>
      <w:r w:rsidR="007964FD" w:rsidRPr="007964FD">
        <w:t>dvocates for a regulated accessibility standard for ho</w:t>
      </w:r>
      <w:r w:rsidR="00DA6F19">
        <w:t>using argue that the LHDG Gold l</w:t>
      </w:r>
      <w:r w:rsidR="007964FD" w:rsidRPr="007964FD">
        <w:t>evel specification is the 'minimum'</w:t>
      </w:r>
      <w:r w:rsidR="007964FD" w:rsidRPr="007964FD">
        <w:rPr>
          <w:vertAlign w:val="superscript"/>
        </w:rPr>
        <w:footnoteReference w:id="40"/>
      </w:r>
      <w:r w:rsidR="007964FD" w:rsidRPr="007964FD">
        <w:t xml:space="preserve"> and that it should be applied to all </w:t>
      </w:r>
      <w:r w:rsidR="00C0692A">
        <w:t xml:space="preserve">new </w:t>
      </w:r>
      <w:r w:rsidR="007964FD" w:rsidRPr="007964FD">
        <w:t>housing.</w:t>
      </w:r>
      <w:r w:rsidR="007964FD" w:rsidRPr="007964FD">
        <w:rPr>
          <w:vertAlign w:val="superscript"/>
        </w:rPr>
        <w:footnoteReference w:id="41"/>
      </w:r>
      <w:r w:rsidR="007964FD" w:rsidRPr="007964FD">
        <w:t xml:space="preserve"> However, it is possible that such an approach may not be proportional to the identified problem. Under the COAG Principles, any proposed solution must be efficient and effective.</w:t>
      </w:r>
      <w:r w:rsidR="007964FD" w:rsidRPr="007964FD">
        <w:rPr>
          <w:vertAlign w:val="superscript"/>
        </w:rPr>
        <w:footnoteReference w:id="42"/>
      </w:r>
      <w:r w:rsidR="007964FD" w:rsidRPr="007964FD">
        <w:t xml:space="preserve"> That is, they must be proportional to the nature and extent of the identified problem. Therefore, the more stringent the specification and the more broadly it is applied, the more significant the nature and extent of the problem must be for such an approach to be considered 'proportional'.</w:t>
      </w:r>
    </w:p>
    <w:p w14:paraId="5CB27097" w14:textId="6924B3FC" w:rsidR="008C334D" w:rsidRDefault="008C334D" w:rsidP="008C334D">
      <w:pPr>
        <w:pStyle w:val="Heading2"/>
      </w:pPr>
      <w:r>
        <w:t>Performance-Based Approach</w:t>
      </w:r>
    </w:p>
    <w:p w14:paraId="471BD2D3" w14:textId="38CFDB42" w:rsidR="008C334D" w:rsidRPr="007964FD" w:rsidRDefault="008C334D" w:rsidP="007964FD">
      <w:r w:rsidRPr="007964FD">
        <w:t xml:space="preserve">The NCC is a performance-based code. A performance-based code provides flexibility to meet the Performance Requirements through using the Deemed-to-Satisfy (DtS) Provisions or by developing Performance Solutions based on existing or new and innovative products, systems and designs. </w:t>
      </w:r>
    </w:p>
    <w:p w14:paraId="55011F31" w14:textId="4EA53F85" w:rsidR="007964FD" w:rsidRPr="007964FD" w:rsidRDefault="007964FD" w:rsidP="007964FD">
      <w:r w:rsidRPr="007964FD">
        <w:t xml:space="preserve">The LHDG is drafted in a performance-based format. It is </w:t>
      </w:r>
      <w:r w:rsidR="007E6F0B">
        <w:t>founded</w:t>
      </w:r>
      <w:r w:rsidRPr="007964FD">
        <w:t xml:space="preserve"> on a series of 'Performance Statements' </w:t>
      </w:r>
      <w:r w:rsidR="00DB6EE4">
        <w:t>that</w:t>
      </w:r>
      <w:r w:rsidRPr="007964FD">
        <w:t xml:space="preserve"> are, in effect, Performance Requirements. These statements are supported by </w:t>
      </w:r>
      <w:r w:rsidR="007671FD">
        <w:t xml:space="preserve">a series of </w:t>
      </w:r>
      <w:r w:rsidRPr="007964FD">
        <w:t>technical specifications that act as</w:t>
      </w:r>
      <w:r w:rsidR="007671FD">
        <w:t xml:space="preserve"> the</w:t>
      </w:r>
      <w:r w:rsidRPr="007964FD">
        <w:t xml:space="preserve"> 'DtS Provisions'.</w:t>
      </w:r>
    </w:p>
    <w:p w14:paraId="27168367" w14:textId="0A070FCD" w:rsidR="007964FD" w:rsidRPr="007964FD" w:rsidRDefault="007964FD" w:rsidP="007964FD">
      <w:r w:rsidRPr="007964FD">
        <w:t xml:space="preserve">The Performance Requirements are the only mandatory requirements of the NCC. Accordingly, these will be the focus of the discussion </w:t>
      </w:r>
      <w:r w:rsidR="00AC3DBA">
        <w:t>for</w:t>
      </w:r>
      <w:r w:rsidRPr="007964FD">
        <w:t xml:space="preserve"> each option. </w:t>
      </w:r>
      <w:r w:rsidR="008C334D">
        <w:t xml:space="preserve">(Performance Requirements also need to </w:t>
      </w:r>
      <w:r w:rsidR="00200CD7">
        <w:t xml:space="preserve">be </w:t>
      </w:r>
      <w:r w:rsidR="008C334D">
        <w:t>expressed in terms that are quantifiable — this is discussed in the next section of the Options Paper.)</w:t>
      </w:r>
    </w:p>
    <w:p w14:paraId="25BBDB3D" w14:textId="009F4928" w:rsidR="007964FD" w:rsidRPr="007964FD" w:rsidRDefault="007964FD" w:rsidP="007964FD">
      <w:r w:rsidRPr="007964FD">
        <w:t>The wording for each 'Performance Requirement' is taken directly from the Performance Statements in the LHDG. These are the same for all three options; the difference between each option is in the number of 'Performance Requirements' that are included.</w:t>
      </w:r>
    </w:p>
    <w:p w14:paraId="32D67E50" w14:textId="52381855" w:rsidR="007964FD" w:rsidRPr="007964FD" w:rsidRDefault="007964FD" w:rsidP="007964FD">
      <w:pPr>
        <w:pBdr>
          <w:top w:val="single" w:sz="4" w:space="1" w:color="auto"/>
          <w:left w:val="single" w:sz="4" w:space="4" w:color="auto"/>
          <w:bottom w:val="single" w:sz="4" w:space="1" w:color="auto"/>
          <w:right w:val="single" w:sz="4" w:space="4" w:color="auto"/>
        </w:pBdr>
      </w:pPr>
      <w:r w:rsidRPr="007964FD">
        <w:rPr>
          <w:b/>
        </w:rPr>
        <w:t>Note:</w:t>
      </w:r>
      <w:r w:rsidRPr="007964FD">
        <w:rPr>
          <w:b/>
        </w:rPr>
        <w:tab/>
      </w:r>
      <w:r w:rsidRPr="007964FD">
        <w:t>Detail regarding technical specifications for each option are set out within the LHDG (</w:t>
      </w:r>
      <w:r>
        <w:t>fourth</w:t>
      </w:r>
      <w:r w:rsidRPr="007964FD">
        <w:t xml:space="preserve"> edition, 2017). These technical provisions are not replicated in this paper because, at this stage, they are </w:t>
      </w:r>
      <w:r w:rsidR="00DC0935">
        <w:t xml:space="preserve">a </w:t>
      </w:r>
      <w:r w:rsidRPr="007964FD">
        <w:t xml:space="preserve">secondary consideration. The primary consideration is which Performance Requirements should apply as this is a matter of public policy </w:t>
      </w:r>
      <w:r w:rsidR="00AC3DBA">
        <w:t>that</w:t>
      </w:r>
      <w:r w:rsidRPr="007964FD">
        <w:t xml:space="preserve"> will govern the scope and content of any future</w:t>
      </w:r>
      <w:r w:rsidR="00200CD7">
        <w:t xml:space="preserve"> technical</w:t>
      </w:r>
      <w:r w:rsidRPr="007964FD">
        <w:t xml:space="preserve"> provisions.</w:t>
      </w:r>
    </w:p>
    <w:p w14:paraId="69B8A404" w14:textId="1B9DF3A4" w:rsidR="007964FD" w:rsidRPr="007964FD" w:rsidRDefault="00200CD7" w:rsidP="007964FD">
      <w:pPr>
        <w:pBdr>
          <w:top w:val="single" w:sz="4" w:space="1" w:color="auto"/>
          <w:left w:val="single" w:sz="4" w:space="4" w:color="auto"/>
          <w:bottom w:val="single" w:sz="4" w:space="1" w:color="auto"/>
          <w:right w:val="single" w:sz="4" w:space="4" w:color="auto"/>
        </w:pBdr>
      </w:pPr>
      <w:r>
        <w:t xml:space="preserve">For a copy of the LHDG, see: </w:t>
      </w:r>
      <w:r w:rsidRPr="00200CD7">
        <w:rPr>
          <w:color w:val="0000FF" w:themeColor="hyperlink"/>
          <w:u w:val="single"/>
        </w:rPr>
        <w:t>www.liv</w:t>
      </w:r>
      <w:r>
        <w:rPr>
          <w:color w:val="0000FF" w:themeColor="hyperlink"/>
          <w:u w:val="single"/>
        </w:rPr>
        <w:t>ablehousingaustralia.org.au</w:t>
      </w:r>
      <w:r w:rsidR="007964FD" w:rsidRPr="007964FD">
        <w:t xml:space="preserve">. </w:t>
      </w:r>
    </w:p>
    <w:p w14:paraId="65876FE3" w14:textId="77777777" w:rsidR="0067667C" w:rsidRDefault="0067667C" w:rsidP="0067667C">
      <w:bookmarkStart w:id="25" w:name="_Toc512593516"/>
      <w:bookmarkStart w:id="26" w:name="_Toc512593518"/>
    </w:p>
    <w:p w14:paraId="7B5B5B62" w14:textId="01D670B8" w:rsidR="0067667C" w:rsidRPr="0067667C" w:rsidRDefault="0067667C" w:rsidP="0067667C">
      <w:pPr>
        <w:pStyle w:val="Heading2"/>
      </w:pPr>
      <w:r w:rsidRPr="0067667C">
        <w:t>Option 1</w:t>
      </w:r>
      <w:bookmarkEnd w:id="25"/>
    </w:p>
    <w:p w14:paraId="1DF2F445" w14:textId="6001AEC8" w:rsidR="0067667C" w:rsidRPr="0067667C" w:rsidRDefault="00575CC0" w:rsidP="0067667C">
      <w:r>
        <w:t>Option 1 is based on the LHDG Silver Level, but includ</w:t>
      </w:r>
      <w:r w:rsidR="00200CD7">
        <w:t>es</w:t>
      </w:r>
      <w:r>
        <w:t xml:space="preserve"> only </w:t>
      </w:r>
      <w:r w:rsidR="0067667C" w:rsidRPr="0067667C">
        <w:t>the following five Performance Requirements:</w:t>
      </w:r>
    </w:p>
    <w:p w14:paraId="0C91C77F" w14:textId="77777777" w:rsidR="0067667C" w:rsidRPr="0067667C" w:rsidRDefault="0067667C" w:rsidP="0067667C">
      <w:pPr>
        <w:rPr>
          <w:rFonts w:eastAsia="Calibri" w:cs="Times New Roman"/>
        </w:rPr>
      </w:pPr>
      <w:r w:rsidRPr="0067667C">
        <w:rPr>
          <w:rFonts w:eastAsia="Calibri" w:cs="Times New Roman"/>
        </w:rPr>
        <w:t>(1)</w:t>
      </w:r>
      <w:r w:rsidRPr="0067667C">
        <w:rPr>
          <w:rFonts w:eastAsia="Calibri" w:cs="Times New Roman"/>
        </w:rPr>
        <w:tab/>
        <w:t xml:space="preserve">At least one level (step-free) entrance into the dwelling to enable home occupants to </w:t>
      </w:r>
      <w:r w:rsidRPr="0067667C">
        <w:rPr>
          <w:rFonts w:eastAsia="Calibri" w:cs="Times New Roman"/>
        </w:rPr>
        <w:tab/>
        <w:t>easily enter and exit the dwelling.</w:t>
      </w:r>
    </w:p>
    <w:p w14:paraId="4F9F111A" w14:textId="77777777" w:rsidR="0067667C" w:rsidRPr="0067667C" w:rsidRDefault="0067667C" w:rsidP="0067667C">
      <w:pPr>
        <w:rPr>
          <w:rFonts w:eastAsia="Calibri" w:cs="Times New Roman"/>
        </w:rPr>
      </w:pPr>
      <w:r w:rsidRPr="0067667C">
        <w:rPr>
          <w:rFonts w:eastAsia="Calibri" w:cs="Times New Roman"/>
        </w:rPr>
        <w:t>(2)</w:t>
      </w:r>
      <w:r w:rsidRPr="0067667C">
        <w:rPr>
          <w:rFonts w:eastAsia="Calibri" w:cs="Times New Roman"/>
        </w:rPr>
        <w:tab/>
        <w:t xml:space="preserve">Internal doors and corridors that facilitate comfortable and unimpeded movement </w:t>
      </w:r>
      <w:r w:rsidRPr="0067667C">
        <w:rPr>
          <w:rFonts w:eastAsia="Calibri" w:cs="Times New Roman"/>
        </w:rPr>
        <w:tab/>
        <w:t>between spaces.</w:t>
      </w:r>
    </w:p>
    <w:p w14:paraId="245FF49A" w14:textId="77777777" w:rsidR="0067667C" w:rsidRPr="0067667C" w:rsidRDefault="0067667C" w:rsidP="0067667C">
      <w:pPr>
        <w:rPr>
          <w:rFonts w:eastAsia="Calibri" w:cs="Times New Roman"/>
        </w:rPr>
      </w:pPr>
      <w:r w:rsidRPr="0067667C">
        <w:rPr>
          <w:rFonts w:eastAsia="Calibri" w:cs="Times New Roman"/>
        </w:rPr>
        <w:t>(3)</w:t>
      </w:r>
      <w:r w:rsidRPr="0067667C">
        <w:rPr>
          <w:rFonts w:eastAsia="Calibri" w:cs="Times New Roman"/>
        </w:rPr>
        <w:tab/>
        <w:t xml:space="preserve">The ground (or entry) level has a toilet to support easy access for home occupants and </w:t>
      </w:r>
      <w:r w:rsidRPr="0067667C">
        <w:rPr>
          <w:rFonts w:eastAsia="Calibri" w:cs="Times New Roman"/>
        </w:rPr>
        <w:tab/>
        <w:t>visitors.</w:t>
      </w:r>
    </w:p>
    <w:p w14:paraId="10378FD7" w14:textId="77777777" w:rsidR="0067667C" w:rsidRPr="0067667C" w:rsidRDefault="0067667C" w:rsidP="0067667C">
      <w:pPr>
        <w:rPr>
          <w:rFonts w:eastAsia="Calibri" w:cs="Times New Roman"/>
        </w:rPr>
      </w:pPr>
      <w:r w:rsidRPr="0067667C">
        <w:rPr>
          <w:rFonts w:eastAsia="Calibri" w:cs="Times New Roman"/>
        </w:rPr>
        <w:t>(4)</w:t>
      </w:r>
      <w:r w:rsidRPr="0067667C">
        <w:rPr>
          <w:rFonts w:eastAsia="Calibri" w:cs="Times New Roman"/>
        </w:rPr>
        <w:tab/>
        <w:t xml:space="preserve">The bathroom and shower is designed for easy and independent access for all home </w:t>
      </w:r>
      <w:r w:rsidRPr="0067667C">
        <w:rPr>
          <w:rFonts w:eastAsia="Calibri" w:cs="Times New Roman"/>
        </w:rPr>
        <w:tab/>
        <w:t>occupants.</w:t>
      </w:r>
    </w:p>
    <w:p w14:paraId="3E95E10E" w14:textId="77777777" w:rsidR="0067667C" w:rsidRPr="0067667C" w:rsidRDefault="0067667C" w:rsidP="0067667C">
      <w:pPr>
        <w:rPr>
          <w:rFonts w:eastAsia="Calibri" w:cs="Times New Roman"/>
        </w:rPr>
      </w:pPr>
      <w:r w:rsidRPr="0067667C">
        <w:rPr>
          <w:rFonts w:eastAsia="Calibri" w:cs="Times New Roman"/>
        </w:rPr>
        <w:t>(5)</w:t>
      </w:r>
      <w:r w:rsidRPr="0067667C">
        <w:rPr>
          <w:rFonts w:eastAsia="Calibri" w:cs="Times New Roman"/>
        </w:rPr>
        <w:tab/>
        <w:t xml:space="preserve">Bathroom and toilet walls are built to enable grabrails to be safely and economically </w:t>
      </w:r>
      <w:r w:rsidRPr="0067667C">
        <w:rPr>
          <w:rFonts w:eastAsia="Calibri" w:cs="Times New Roman"/>
        </w:rPr>
        <w:tab/>
        <w:t>installed (immediately or in the future).</w:t>
      </w:r>
    </w:p>
    <w:p w14:paraId="16E7A789" w14:textId="77777777" w:rsidR="0067667C" w:rsidRPr="0067667C" w:rsidRDefault="0067667C" w:rsidP="0067667C">
      <w:pPr>
        <w:keepNext/>
        <w:keepLines/>
        <w:spacing w:before="200" w:after="0"/>
        <w:outlineLvl w:val="2"/>
        <w:rPr>
          <w:rFonts w:asciiTheme="majorHAnsi" w:eastAsia="Calibri" w:hAnsiTheme="majorHAnsi" w:cstheme="majorBidi"/>
          <w:b/>
          <w:bCs/>
          <w:color w:val="002060"/>
          <w:sz w:val="28"/>
        </w:rPr>
      </w:pPr>
      <w:r w:rsidRPr="0067667C">
        <w:rPr>
          <w:rFonts w:asciiTheme="majorHAnsi" w:eastAsia="Calibri" w:hAnsiTheme="majorHAnsi" w:cstheme="majorBidi"/>
          <w:b/>
          <w:bCs/>
          <w:color w:val="002060"/>
          <w:sz w:val="28"/>
        </w:rPr>
        <w:t>Discussion</w:t>
      </w:r>
    </w:p>
    <w:p w14:paraId="5012F741" w14:textId="25327D98" w:rsidR="0067667C" w:rsidRPr="0067667C" w:rsidRDefault="00B51CFE" w:rsidP="0067667C">
      <w:r>
        <w:t>Option 1</w:t>
      </w:r>
      <w:r w:rsidR="0067667C" w:rsidRPr="0067667C">
        <w:t xml:space="preserve"> addresses, at design and construction stage, the five requirements of the LHDG that would be most difficult to incorporate retrospectively. </w:t>
      </w:r>
    </w:p>
    <w:p w14:paraId="02A45335" w14:textId="77777777" w:rsidR="0067667C" w:rsidRPr="0067667C" w:rsidRDefault="0067667C" w:rsidP="0067667C">
      <w:r w:rsidRPr="0067667C">
        <w:t xml:space="preserve">Performance Requirement 1 ensures that the entry door has sufficient clear opening width and does not incorporate a step-up (threshold) that could be difficult to modify post-construction.  </w:t>
      </w:r>
    </w:p>
    <w:p w14:paraId="7518BC84" w14:textId="6B82ACF7" w:rsidR="0067667C" w:rsidRPr="0067667C" w:rsidRDefault="0067667C" w:rsidP="0067667C">
      <w:r w:rsidRPr="0067667C">
        <w:t>Performance Requirement 2 is designed to avoid the need to relocate internal walls that may be structural and costly to reconfigure if occupants need to increase the circulation space within their home</w:t>
      </w:r>
      <w:r w:rsidR="00050F5C">
        <w:t>, including doorways</w:t>
      </w:r>
      <w:r w:rsidRPr="0067667C">
        <w:t xml:space="preserve">. </w:t>
      </w:r>
    </w:p>
    <w:p w14:paraId="510510DC" w14:textId="4387B902" w:rsidR="0067667C" w:rsidRPr="0067667C" w:rsidRDefault="0067667C" w:rsidP="0067667C">
      <w:r w:rsidRPr="0067667C">
        <w:t xml:space="preserve">Performance Requirements 3 to 5 provide toilet and bathroom spaces that are more accessible, while also minimising the need for relocation or modification of toilet and bathroom spaces </w:t>
      </w:r>
      <w:r w:rsidR="001D45D3">
        <w:t>that</w:t>
      </w:r>
      <w:r w:rsidRPr="0067667C">
        <w:t xml:space="preserve"> can impact upon the location of internal walls, as well as waterproofing measures and plumbing and drainage installations that can be difficult to re-configure once they are in place.</w:t>
      </w:r>
    </w:p>
    <w:p w14:paraId="4A64B0E5" w14:textId="41449372" w:rsidR="0067667C" w:rsidRPr="0067667C" w:rsidRDefault="00B51CFE" w:rsidP="0067667C">
      <w:r>
        <w:t>Option 1</w:t>
      </w:r>
      <w:r w:rsidR="0067667C" w:rsidRPr="0067667C">
        <w:t xml:space="preserve"> does not include a step-free path of travel from the property boundary or parking space to the dwelling entry. For Class 1a dwellings, this is because such a feature is external to the building</w:t>
      </w:r>
      <w:r w:rsidR="008D75F0">
        <w:t>,</w:t>
      </w:r>
      <w:r w:rsidR="0067667C" w:rsidRPr="0067667C">
        <w:t xml:space="preserve"> </w:t>
      </w:r>
      <w:r w:rsidR="00200CD7">
        <w:t xml:space="preserve">which means </w:t>
      </w:r>
      <w:r w:rsidR="0067667C" w:rsidRPr="0067667C">
        <w:t xml:space="preserve">that in most cases it can be added later without needing to alter the building itself. Also, for Class 1a dwellings, it is possible that requiring a step free path to the entry would significantly restrict the construction of dwellings with a framed sub-floor space as opposed to slab on ground. Furthermore, it may require an excessive amount of ramping to be provided, which may not be feasible on smaller or </w:t>
      </w:r>
      <w:r w:rsidR="00704F3F">
        <w:t>very</w:t>
      </w:r>
      <w:r w:rsidR="00704F3F" w:rsidRPr="0067667C">
        <w:t xml:space="preserve"> </w:t>
      </w:r>
      <w:r w:rsidR="0067667C" w:rsidRPr="0067667C">
        <w:t>steep allotments.</w:t>
      </w:r>
      <w:r w:rsidR="009F0AA6">
        <w:t xml:space="preserve"> If this feature was included in the NCC, it may need to be provided with concessions for sites where compliance is impractical or unreasonably difficult to achieve.</w:t>
      </w:r>
    </w:p>
    <w:p w14:paraId="13E32D64" w14:textId="3FB6F2D8" w:rsidR="0067667C" w:rsidRPr="0067667C" w:rsidRDefault="0067667C" w:rsidP="0067667C">
      <w:r w:rsidRPr="0067667C">
        <w:t xml:space="preserve">For Class 2 buildings, omitting the step-free path of travel requirement is consistent with the current NCC which, although it requires an accessible path of travel to at least one floor containing apartments, and all floors served by a lift, does not extend to parking areas or require the provision of accessible parking spaces. While it could be argued that this approach might result in accessible apartments with non-accessible parking spaces, the same can occur under the current NCC. </w:t>
      </w:r>
      <w:r w:rsidR="00200CD7">
        <w:t>T</w:t>
      </w:r>
      <w:r w:rsidRPr="0067667C">
        <w:t>his has not been an issue because where a lift is provided it</w:t>
      </w:r>
      <w:r w:rsidR="00200CD7">
        <w:t xml:space="preserve"> usually </w:t>
      </w:r>
      <w:r w:rsidRPr="0067667C">
        <w:t xml:space="preserve"> also serves the car parking areas, not just the residential floors of the building. Where a lift is not provided, under the current NCC, an accessible path of travel would still be required to at least one floor of apartments and any common areas. </w:t>
      </w:r>
    </w:p>
    <w:p w14:paraId="0D5113E6" w14:textId="1C1290BA" w:rsidR="0067667C" w:rsidRPr="0067667C" w:rsidRDefault="0067667C" w:rsidP="0067667C">
      <w:r w:rsidRPr="0067667C">
        <w:t>It is also worth noting that the NCC</w:t>
      </w:r>
      <w:r w:rsidR="00200CD7">
        <w:t xml:space="preserve"> </w:t>
      </w:r>
      <w:r w:rsidRPr="0067667C">
        <w:t>does not require any parking spaces to be provided for residential buildings (Class 1a or 2) because the provision of resident parking is a planning matter.  If car parking is required through the planning process, then depending on the nature of its structure, the NCC will likely specify the minimum requirements for its construction</w:t>
      </w:r>
      <w:r w:rsidR="00200CD7">
        <w:t xml:space="preserve"> if it is part of the building</w:t>
      </w:r>
      <w:r w:rsidRPr="0067667C">
        <w:t>.</w:t>
      </w:r>
    </w:p>
    <w:p w14:paraId="7A75055D" w14:textId="0E2AFE4E" w:rsidR="0067667C" w:rsidRPr="0067667C" w:rsidRDefault="0067667C" w:rsidP="0067667C">
      <w:r w:rsidRPr="0067667C">
        <w:t>Lastly, it is not clear that requiring a step-free path from the property boundary/parking space is consistent with other parts of the LHDG, which do allow step</w:t>
      </w:r>
      <w:r w:rsidR="00055B80">
        <w:t xml:space="preserve">s to be used within a dwelling </w:t>
      </w:r>
      <w:r w:rsidRPr="0067667C">
        <w:t>provided there is a toil</w:t>
      </w:r>
      <w:r w:rsidR="00F36BB1">
        <w:t>et on the ground or entry level</w:t>
      </w:r>
      <w:r w:rsidRPr="0067667C">
        <w:t xml:space="preserve"> and</w:t>
      </w:r>
      <w:r w:rsidR="00F36BB1">
        <w:t>,</w:t>
      </w:r>
      <w:r w:rsidRPr="0067667C">
        <w:t xml:space="preserve"> for Gold Level only, a bedroom spa</w:t>
      </w:r>
      <w:r w:rsidR="00055B80">
        <w:t>ce on the ground or entry level</w:t>
      </w:r>
      <w:r w:rsidRPr="0067667C">
        <w:t xml:space="preserve">. </w:t>
      </w:r>
    </w:p>
    <w:p w14:paraId="765BC46E" w14:textId="065FBCCC" w:rsidR="0067667C" w:rsidRPr="0067667C" w:rsidRDefault="00F77683" w:rsidP="0067667C">
      <w:r>
        <w:t>Option 1</w:t>
      </w:r>
      <w:r w:rsidR="00C46104" w:rsidRPr="0067667C">
        <w:t xml:space="preserve"> </w:t>
      </w:r>
      <w:r w:rsidR="0067667C" w:rsidRPr="0067667C">
        <w:t>also does not cover internal stairways because, as is the case for LHDG Silver Level, compliance with the existing requirements of the NCC is considered acceptable</w:t>
      </w:r>
      <w:r w:rsidR="001158A4">
        <w:t xml:space="preserve"> according to the current LHDG</w:t>
      </w:r>
      <w:r w:rsidR="0067667C" w:rsidRPr="0067667C">
        <w:t xml:space="preserve">. </w:t>
      </w:r>
    </w:p>
    <w:p w14:paraId="398BB5B5" w14:textId="12A67FE3" w:rsidR="0067667C" w:rsidRPr="0067667C" w:rsidRDefault="0067667C" w:rsidP="0067667C">
      <w:pPr>
        <w:keepNext/>
        <w:keepLines/>
        <w:spacing w:before="200" w:after="0"/>
        <w:outlineLvl w:val="1"/>
        <w:rPr>
          <w:rFonts w:asciiTheme="majorHAnsi" w:eastAsiaTheme="majorEastAsia" w:hAnsiTheme="majorHAnsi" w:cstheme="majorBidi"/>
          <w:b/>
          <w:bCs/>
          <w:color w:val="002060"/>
          <w:sz w:val="32"/>
          <w:szCs w:val="26"/>
        </w:rPr>
      </w:pPr>
      <w:bookmarkStart w:id="27" w:name="_Toc512593517"/>
      <w:r w:rsidRPr="0067667C">
        <w:rPr>
          <w:rFonts w:asciiTheme="majorHAnsi" w:eastAsiaTheme="majorEastAsia" w:hAnsiTheme="majorHAnsi" w:cstheme="majorBidi"/>
          <w:b/>
          <w:bCs/>
          <w:color w:val="002060"/>
          <w:sz w:val="32"/>
          <w:szCs w:val="26"/>
        </w:rPr>
        <w:t>Option 2</w:t>
      </w:r>
      <w:bookmarkEnd w:id="27"/>
    </w:p>
    <w:p w14:paraId="3FC6C36F" w14:textId="5931062F" w:rsidR="0067667C" w:rsidRPr="0067667C" w:rsidRDefault="00575CC0" w:rsidP="0067667C">
      <w:r>
        <w:t>Option 2 include</w:t>
      </w:r>
      <w:r w:rsidR="00D05FEF">
        <w:t>s</w:t>
      </w:r>
      <w:r>
        <w:t xml:space="preserve"> all seven elements of the</w:t>
      </w:r>
      <w:r w:rsidR="0067667C" w:rsidRPr="0067667C">
        <w:t xml:space="preserve"> LHDG Silver Level. </w:t>
      </w:r>
    </w:p>
    <w:p w14:paraId="47445BA1" w14:textId="77777777" w:rsidR="0067667C" w:rsidRPr="0067667C" w:rsidRDefault="0067667C" w:rsidP="0067667C">
      <w:r w:rsidRPr="0067667C">
        <w:t>According to the LHDG, the Silver Level 'focusses on the key structural and spatial elements that are critical to ensure future flexibility and adaptability of the home’.</w:t>
      </w:r>
    </w:p>
    <w:p w14:paraId="247C1551" w14:textId="670CE14F" w:rsidR="0067667C" w:rsidRPr="0067667C" w:rsidRDefault="00145C8A" w:rsidP="0067667C">
      <w:r>
        <w:t xml:space="preserve">If applied, </w:t>
      </w:r>
      <w:r w:rsidR="00575CC0">
        <w:t xml:space="preserve">Option 2 </w:t>
      </w:r>
      <w:r w:rsidR="0067667C" w:rsidRPr="0067667C">
        <w:t>would include the following seven Performance Requirements (f</w:t>
      </w:r>
      <w:r>
        <w:t>ive</w:t>
      </w:r>
      <w:r w:rsidR="0067667C" w:rsidRPr="0067667C">
        <w:t xml:space="preserve"> of which are also in </w:t>
      </w:r>
      <w:r w:rsidR="00575CC0">
        <w:t>Option 1</w:t>
      </w:r>
      <w:r w:rsidR="0067667C" w:rsidRPr="0067667C">
        <w:t>):</w:t>
      </w:r>
    </w:p>
    <w:p w14:paraId="474A987F" w14:textId="77777777" w:rsidR="0067667C" w:rsidRPr="0067667C" w:rsidRDefault="0067667C" w:rsidP="0067667C">
      <w:pPr>
        <w:rPr>
          <w:rFonts w:eastAsia="Calibri" w:cs="Times New Roman"/>
        </w:rPr>
      </w:pPr>
      <w:r w:rsidRPr="0067667C">
        <w:rPr>
          <w:rFonts w:eastAsia="Calibri" w:cs="Times New Roman"/>
        </w:rPr>
        <w:t>(1)</w:t>
      </w:r>
      <w:r w:rsidRPr="0067667C">
        <w:rPr>
          <w:rFonts w:eastAsia="Calibri" w:cs="Times New Roman"/>
        </w:rPr>
        <w:tab/>
        <w:t xml:space="preserve">A safe, continuous, step-free pathway from the street entrance and/or parking area to </w:t>
      </w:r>
      <w:r w:rsidRPr="0067667C">
        <w:rPr>
          <w:rFonts w:eastAsia="Calibri" w:cs="Times New Roman"/>
        </w:rPr>
        <w:tab/>
        <w:t xml:space="preserve">a dwelling entrance that is level (Note: this does not apply for blocks steeper than </w:t>
      </w:r>
      <w:r w:rsidRPr="0067667C">
        <w:rPr>
          <w:rFonts w:eastAsia="Calibri" w:cs="Times New Roman"/>
        </w:rPr>
        <w:tab/>
        <w:t>1:14.)</w:t>
      </w:r>
    </w:p>
    <w:p w14:paraId="13C91256" w14:textId="77777777" w:rsidR="0067667C" w:rsidRPr="0067667C" w:rsidRDefault="0067667C" w:rsidP="0067667C">
      <w:pPr>
        <w:rPr>
          <w:rFonts w:eastAsia="Calibri" w:cs="Times New Roman"/>
        </w:rPr>
      </w:pPr>
      <w:r w:rsidRPr="0067667C">
        <w:rPr>
          <w:rFonts w:eastAsia="Calibri" w:cs="Times New Roman"/>
        </w:rPr>
        <w:t>(2)</w:t>
      </w:r>
      <w:r w:rsidRPr="0067667C">
        <w:rPr>
          <w:rFonts w:eastAsia="Calibri" w:cs="Times New Roman"/>
        </w:rPr>
        <w:tab/>
        <w:t xml:space="preserve">At least one level (step-free) entrance into the dwelling to enable home occupants to </w:t>
      </w:r>
      <w:r w:rsidRPr="0067667C">
        <w:rPr>
          <w:rFonts w:eastAsia="Calibri" w:cs="Times New Roman"/>
        </w:rPr>
        <w:tab/>
        <w:t>easily enter and exit the dwelling.</w:t>
      </w:r>
    </w:p>
    <w:p w14:paraId="23D12AAF" w14:textId="77777777" w:rsidR="0067667C" w:rsidRPr="0067667C" w:rsidRDefault="0067667C" w:rsidP="0067667C">
      <w:pPr>
        <w:rPr>
          <w:rFonts w:eastAsia="Calibri" w:cs="Times New Roman"/>
        </w:rPr>
      </w:pPr>
      <w:r w:rsidRPr="0067667C">
        <w:rPr>
          <w:rFonts w:eastAsia="Calibri" w:cs="Times New Roman"/>
        </w:rPr>
        <w:t>(3)</w:t>
      </w:r>
      <w:r w:rsidRPr="0067667C">
        <w:rPr>
          <w:rFonts w:eastAsia="Calibri" w:cs="Times New Roman"/>
        </w:rPr>
        <w:tab/>
        <w:t xml:space="preserve">Internal doors and corridors that facilitate comfortable and unimpeded movement </w:t>
      </w:r>
      <w:r w:rsidRPr="0067667C">
        <w:rPr>
          <w:rFonts w:eastAsia="Calibri" w:cs="Times New Roman"/>
        </w:rPr>
        <w:tab/>
        <w:t>between spaces.</w:t>
      </w:r>
    </w:p>
    <w:p w14:paraId="2A5F5351" w14:textId="77777777" w:rsidR="0067667C" w:rsidRPr="0067667C" w:rsidRDefault="0067667C" w:rsidP="0067667C">
      <w:pPr>
        <w:rPr>
          <w:rFonts w:eastAsia="Calibri" w:cs="Times New Roman"/>
        </w:rPr>
      </w:pPr>
      <w:r w:rsidRPr="0067667C">
        <w:rPr>
          <w:rFonts w:eastAsia="Calibri" w:cs="Times New Roman"/>
        </w:rPr>
        <w:t>(4)</w:t>
      </w:r>
      <w:r w:rsidRPr="0067667C">
        <w:rPr>
          <w:rFonts w:eastAsia="Calibri" w:cs="Times New Roman"/>
        </w:rPr>
        <w:tab/>
        <w:t xml:space="preserve">The ground (or entry) level has a toilet to support easy access for home occupants and </w:t>
      </w:r>
      <w:r w:rsidRPr="0067667C">
        <w:rPr>
          <w:rFonts w:eastAsia="Calibri" w:cs="Times New Roman"/>
        </w:rPr>
        <w:tab/>
        <w:t>visitors.</w:t>
      </w:r>
    </w:p>
    <w:p w14:paraId="260C18CD" w14:textId="77777777" w:rsidR="0067667C" w:rsidRPr="0067667C" w:rsidRDefault="0067667C" w:rsidP="0067667C">
      <w:pPr>
        <w:rPr>
          <w:rFonts w:eastAsia="Calibri" w:cs="Times New Roman"/>
        </w:rPr>
      </w:pPr>
      <w:r w:rsidRPr="0067667C">
        <w:rPr>
          <w:rFonts w:eastAsia="Calibri" w:cs="Times New Roman"/>
        </w:rPr>
        <w:t>(5)</w:t>
      </w:r>
      <w:r w:rsidRPr="0067667C">
        <w:rPr>
          <w:rFonts w:eastAsia="Calibri" w:cs="Times New Roman"/>
        </w:rPr>
        <w:tab/>
        <w:t xml:space="preserve">The bathroom and shower is designed for easy and independent access for all home </w:t>
      </w:r>
      <w:r w:rsidRPr="0067667C">
        <w:rPr>
          <w:rFonts w:eastAsia="Calibri" w:cs="Times New Roman"/>
        </w:rPr>
        <w:tab/>
        <w:t>occupants.</w:t>
      </w:r>
    </w:p>
    <w:p w14:paraId="39204A2A" w14:textId="77777777" w:rsidR="0067667C" w:rsidRPr="0067667C" w:rsidRDefault="0067667C" w:rsidP="0067667C">
      <w:pPr>
        <w:rPr>
          <w:rFonts w:eastAsia="Calibri" w:cs="Times New Roman"/>
        </w:rPr>
      </w:pPr>
      <w:r w:rsidRPr="0067667C">
        <w:rPr>
          <w:rFonts w:eastAsia="Calibri" w:cs="Times New Roman"/>
        </w:rPr>
        <w:t>(6)</w:t>
      </w:r>
      <w:r w:rsidRPr="0067667C">
        <w:rPr>
          <w:rFonts w:eastAsia="Calibri" w:cs="Times New Roman"/>
        </w:rPr>
        <w:tab/>
        <w:t xml:space="preserve">Bathroom and toilet walls are built to enable grabrails to be safely and economically </w:t>
      </w:r>
      <w:r w:rsidRPr="0067667C">
        <w:rPr>
          <w:rFonts w:eastAsia="Calibri" w:cs="Times New Roman"/>
        </w:rPr>
        <w:tab/>
        <w:t>installed (immediately or in the future).</w:t>
      </w:r>
    </w:p>
    <w:p w14:paraId="26C9F0FF" w14:textId="77777777" w:rsidR="0067667C" w:rsidRPr="0067667C" w:rsidRDefault="0067667C" w:rsidP="0067667C">
      <w:pPr>
        <w:rPr>
          <w:rFonts w:eastAsia="Calibri" w:cs="Times New Roman"/>
        </w:rPr>
      </w:pPr>
      <w:r w:rsidRPr="0067667C">
        <w:rPr>
          <w:rFonts w:eastAsia="Calibri" w:cs="Times New Roman"/>
        </w:rPr>
        <w:t>(7)</w:t>
      </w:r>
      <w:r w:rsidRPr="0067667C">
        <w:rPr>
          <w:rFonts w:eastAsia="Calibri" w:cs="Times New Roman"/>
        </w:rPr>
        <w:tab/>
        <w:t xml:space="preserve">Where installed, stairways are designed to reduce the likelihood of injury and also </w:t>
      </w:r>
      <w:r w:rsidRPr="0067667C">
        <w:rPr>
          <w:rFonts w:eastAsia="Calibri" w:cs="Times New Roman"/>
        </w:rPr>
        <w:tab/>
        <w:t xml:space="preserve">enable a safe pathway. (Note: For Silver Level, this does not add to existing NCC </w:t>
      </w:r>
      <w:r w:rsidRPr="0067667C">
        <w:rPr>
          <w:rFonts w:eastAsia="Calibri" w:cs="Times New Roman"/>
        </w:rPr>
        <w:tab/>
        <w:t>requirements.)</w:t>
      </w:r>
    </w:p>
    <w:p w14:paraId="2C2F21E8" w14:textId="77777777" w:rsidR="0067667C" w:rsidRPr="0067667C" w:rsidRDefault="0067667C" w:rsidP="0067667C">
      <w:pPr>
        <w:keepNext/>
        <w:keepLines/>
        <w:spacing w:before="200" w:after="0"/>
        <w:outlineLvl w:val="2"/>
        <w:rPr>
          <w:rFonts w:asciiTheme="majorHAnsi" w:eastAsiaTheme="majorEastAsia" w:hAnsiTheme="majorHAnsi" w:cstheme="majorBidi"/>
          <w:b/>
          <w:bCs/>
          <w:color w:val="002060"/>
          <w:sz w:val="28"/>
        </w:rPr>
      </w:pPr>
      <w:r w:rsidRPr="0067667C">
        <w:rPr>
          <w:rFonts w:asciiTheme="majorHAnsi" w:eastAsiaTheme="majorEastAsia" w:hAnsiTheme="majorHAnsi" w:cstheme="majorBidi"/>
          <w:b/>
          <w:bCs/>
          <w:color w:val="002060"/>
          <w:sz w:val="28"/>
        </w:rPr>
        <w:t>Discussion</w:t>
      </w:r>
    </w:p>
    <w:p w14:paraId="26557B46" w14:textId="13F84CD0" w:rsidR="0067667C" w:rsidRPr="0067667C" w:rsidRDefault="00B51CFE" w:rsidP="0067667C">
      <w:r>
        <w:t>Option 2</w:t>
      </w:r>
      <w:r w:rsidR="0067667C" w:rsidRPr="0067667C">
        <w:t xml:space="preserve"> </w:t>
      </w:r>
      <w:r w:rsidR="002825CE">
        <w:t>includes</w:t>
      </w:r>
      <w:r w:rsidR="0067667C" w:rsidRPr="0067667C">
        <w:t xml:space="preserve"> a requirement for a step-free path of travel to the dwelling entry (Performance Requirement 1) as well as a requirement that stairways are designed to reduce the likelihood of injury (Performance Requirement </w:t>
      </w:r>
      <w:r w:rsidR="00055B80">
        <w:t>7</w:t>
      </w:r>
      <w:r w:rsidR="0067667C" w:rsidRPr="0067667C">
        <w:t>)</w:t>
      </w:r>
      <w:r w:rsidR="00200CD7">
        <w:t>. T</w:t>
      </w:r>
      <w:r>
        <w:t>hese are omitted from Option 1</w:t>
      </w:r>
      <w:r w:rsidR="00200CD7">
        <w:t>, although, a</w:t>
      </w:r>
      <w:r w:rsidR="0067667C" w:rsidRPr="0067667C">
        <w:t>ccording to the LHDG, the latter of these is covered by the existing NCC</w:t>
      </w:r>
      <w:r w:rsidR="00055B80">
        <w:t>. A</w:t>
      </w:r>
      <w:r w:rsidR="0067667C" w:rsidRPr="0067667C">
        <w:t xml:space="preserve">s </w:t>
      </w:r>
      <w:r w:rsidR="00055B80">
        <w:t xml:space="preserve">is </w:t>
      </w:r>
      <w:r w:rsidR="0067667C" w:rsidRPr="0067667C">
        <w:t xml:space="preserve">noted in the previous section, Performance Requirement 1 may have implications for the construction of houses with a higher floor level due to the amount of ramping required to avoid using steps. </w:t>
      </w:r>
    </w:p>
    <w:p w14:paraId="3866FB41" w14:textId="37A77B6A" w:rsidR="0067667C" w:rsidRPr="0067667C" w:rsidRDefault="0067667C" w:rsidP="0067667C">
      <w:r w:rsidRPr="0067667C">
        <w:t>For Class 2 buildings with car parks, the step-free path of travel requirement would need to be extended to apply from an allocated parking space (if provided) as well as from the building entry at street level, to each unit.  Under the specifications provided in the LHDG, this also means the application of minimum dimensions of 3.3 m x 5.4 m, as well as gradient and slip resistance requirements, to each parking space allocated to an apartment that is required to meet the Silver Level accessibility standard.</w:t>
      </w:r>
    </w:p>
    <w:p w14:paraId="61C1C9BF" w14:textId="1BCCB59C" w:rsidR="0067667C" w:rsidRPr="0067667C" w:rsidRDefault="0067667C" w:rsidP="0067667C">
      <w:pPr>
        <w:keepNext/>
        <w:keepLines/>
        <w:spacing w:before="200" w:after="0"/>
        <w:outlineLvl w:val="1"/>
        <w:rPr>
          <w:rFonts w:asciiTheme="majorHAnsi" w:eastAsiaTheme="majorEastAsia" w:hAnsiTheme="majorHAnsi" w:cstheme="majorBidi"/>
          <w:b/>
          <w:bCs/>
          <w:color w:val="002060"/>
          <w:sz w:val="32"/>
          <w:szCs w:val="26"/>
        </w:rPr>
      </w:pPr>
      <w:r w:rsidRPr="0067667C">
        <w:rPr>
          <w:rFonts w:asciiTheme="majorHAnsi" w:eastAsiaTheme="majorEastAsia" w:hAnsiTheme="majorHAnsi" w:cstheme="majorBidi"/>
          <w:b/>
          <w:bCs/>
          <w:color w:val="002060"/>
          <w:sz w:val="32"/>
          <w:szCs w:val="26"/>
        </w:rPr>
        <w:t>Option 3</w:t>
      </w:r>
      <w:bookmarkEnd w:id="26"/>
    </w:p>
    <w:p w14:paraId="62659C1F" w14:textId="175FDDFE" w:rsidR="0067667C" w:rsidRPr="0067667C" w:rsidRDefault="00487717" w:rsidP="0067667C">
      <w:pPr>
        <w:rPr>
          <w:rFonts w:eastAsia="Calibri" w:cs="Times New Roman"/>
        </w:rPr>
      </w:pPr>
      <w:r>
        <w:rPr>
          <w:rFonts w:eastAsia="Calibri" w:cs="Times New Roman"/>
        </w:rPr>
        <w:t>Option 3 incorporates all twelve elements of t</w:t>
      </w:r>
      <w:r w:rsidR="0067667C" w:rsidRPr="0067667C">
        <w:rPr>
          <w:rFonts w:eastAsia="Calibri" w:cs="Times New Roman"/>
        </w:rPr>
        <w:t>he LHDG Gold Level</w:t>
      </w:r>
      <w:r w:rsidR="00B51CFE">
        <w:rPr>
          <w:rFonts w:eastAsia="Calibri" w:cs="Times New Roman"/>
        </w:rPr>
        <w:t>,</w:t>
      </w:r>
      <w:r w:rsidR="0067667C" w:rsidRPr="0067667C">
        <w:rPr>
          <w:rFonts w:eastAsia="Calibri" w:cs="Times New Roman"/>
        </w:rPr>
        <w:t xml:space="preserve"> </w:t>
      </w:r>
      <w:r>
        <w:rPr>
          <w:rFonts w:eastAsia="Calibri" w:cs="Times New Roman"/>
        </w:rPr>
        <w:t xml:space="preserve">which </w:t>
      </w:r>
      <w:r w:rsidR="0067667C" w:rsidRPr="0067667C">
        <w:rPr>
          <w:rFonts w:eastAsia="Calibri" w:cs="Times New Roman"/>
        </w:rPr>
        <w:t xml:space="preserve">is the second of three specification levels set out in the LHDG. (The </w:t>
      </w:r>
      <w:r w:rsidR="002825CE">
        <w:rPr>
          <w:rFonts w:eastAsia="Calibri" w:cs="Times New Roman"/>
        </w:rPr>
        <w:t>third</w:t>
      </w:r>
      <w:r w:rsidR="0067667C" w:rsidRPr="0067667C">
        <w:rPr>
          <w:rFonts w:eastAsia="Calibri" w:cs="Times New Roman"/>
        </w:rPr>
        <w:t xml:space="preserve"> is Platinum Level, however, that is outside the scope of this Options Paper.)</w:t>
      </w:r>
    </w:p>
    <w:p w14:paraId="64A3B5BE" w14:textId="4332FCBD" w:rsidR="00F77683" w:rsidRDefault="0067667C" w:rsidP="0067667C">
      <w:r w:rsidRPr="0067667C">
        <w:t>According to the LHDG, the Gold Level 'provides for more generous dimensions for most of the core livable housing design elements and introduces additional elements in areas such as the kitchen and bedroom'.</w:t>
      </w:r>
    </w:p>
    <w:p w14:paraId="728503A2" w14:textId="53D41537" w:rsidR="0067667C" w:rsidRPr="0067667C" w:rsidRDefault="00487717" w:rsidP="00F77683">
      <w:pPr>
        <w:keepNext/>
      </w:pPr>
      <w:r>
        <w:t>If applied, Option 3</w:t>
      </w:r>
      <w:r w:rsidR="0067667C" w:rsidRPr="0067667C">
        <w:t xml:space="preserve"> would include the following twelve Performance Requirements:</w:t>
      </w:r>
    </w:p>
    <w:p w14:paraId="73E95E47" w14:textId="77777777" w:rsidR="0067667C" w:rsidRPr="0067667C" w:rsidRDefault="0067667C" w:rsidP="0067667C">
      <w:pPr>
        <w:rPr>
          <w:rFonts w:eastAsia="Calibri" w:cs="Times New Roman"/>
        </w:rPr>
      </w:pPr>
      <w:r w:rsidRPr="0067667C">
        <w:rPr>
          <w:rFonts w:eastAsia="Calibri" w:cs="Times New Roman"/>
        </w:rPr>
        <w:t>(1)</w:t>
      </w:r>
      <w:r w:rsidRPr="0067667C">
        <w:rPr>
          <w:rFonts w:eastAsia="Calibri" w:cs="Times New Roman"/>
        </w:rPr>
        <w:tab/>
        <w:t xml:space="preserve">A safe, continuous, step-free pathway from the street entrance and/or parking area to </w:t>
      </w:r>
      <w:r w:rsidRPr="0067667C">
        <w:rPr>
          <w:rFonts w:eastAsia="Calibri" w:cs="Times New Roman"/>
        </w:rPr>
        <w:tab/>
        <w:t>a dwelling entrance that is level.</w:t>
      </w:r>
    </w:p>
    <w:p w14:paraId="5AD2B085" w14:textId="77777777" w:rsidR="0067667C" w:rsidRPr="0067667C" w:rsidRDefault="0067667C" w:rsidP="0067667C">
      <w:pPr>
        <w:rPr>
          <w:rFonts w:eastAsia="Calibri" w:cs="Times New Roman"/>
        </w:rPr>
      </w:pPr>
      <w:r w:rsidRPr="0067667C">
        <w:rPr>
          <w:rFonts w:eastAsia="Calibri" w:cs="Times New Roman"/>
        </w:rPr>
        <w:t>(2)</w:t>
      </w:r>
      <w:r w:rsidRPr="0067667C">
        <w:rPr>
          <w:rFonts w:eastAsia="Calibri" w:cs="Times New Roman"/>
        </w:rPr>
        <w:tab/>
        <w:t xml:space="preserve">At least one level (step-free) entrance into the dwelling to enable home occupants to </w:t>
      </w:r>
      <w:r w:rsidRPr="0067667C">
        <w:rPr>
          <w:rFonts w:eastAsia="Calibri" w:cs="Times New Roman"/>
        </w:rPr>
        <w:tab/>
        <w:t>easily enter and exit the dwelling.</w:t>
      </w:r>
    </w:p>
    <w:p w14:paraId="5FCAB95A" w14:textId="77777777" w:rsidR="0067667C" w:rsidRPr="0067667C" w:rsidRDefault="0067667C" w:rsidP="0067667C">
      <w:pPr>
        <w:rPr>
          <w:rFonts w:eastAsia="Calibri" w:cs="Times New Roman"/>
        </w:rPr>
      </w:pPr>
      <w:r w:rsidRPr="0067667C">
        <w:rPr>
          <w:rFonts w:eastAsia="Calibri" w:cs="Times New Roman"/>
        </w:rPr>
        <w:t>(3)</w:t>
      </w:r>
      <w:r w:rsidRPr="0067667C">
        <w:rPr>
          <w:rFonts w:eastAsia="Calibri" w:cs="Times New Roman"/>
        </w:rPr>
        <w:tab/>
        <w:t xml:space="preserve">Internal doors and corridors that facilitate comfortable and unimpeded movement </w:t>
      </w:r>
      <w:r w:rsidRPr="0067667C">
        <w:rPr>
          <w:rFonts w:eastAsia="Calibri" w:cs="Times New Roman"/>
        </w:rPr>
        <w:tab/>
        <w:t>between spaces.</w:t>
      </w:r>
    </w:p>
    <w:p w14:paraId="7F35A621" w14:textId="77777777" w:rsidR="0067667C" w:rsidRPr="0067667C" w:rsidRDefault="0067667C" w:rsidP="0067667C">
      <w:pPr>
        <w:rPr>
          <w:rFonts w:eastAsia="Calibri" w:cs="Times New Roman"/>
        </w:rPr>
      </w:pPr>
      <w:r w:rsidRPr="0067667C">
        <w:rPr>
          <w:rFonts w:eastAsia="Calibri" w:cs="Times New Roman"/>
        </w:rPr>
        <w:t>(4)</w:t>
      </w:r>
      <w:r w:rsidRPr="0067667C">
        <w:rPr>
          <w:rFonts w:eastAsia="Calibri" w:cs="Times New Roman"/>
        </w:rPr>
        <w:tab/>
        <w:t xml:space="preserve">The ground (or entry) level has a toilet to support easy access for home occupants and </w:t>
      </w:r>
      <w:r w:rsidRPr="0067667C">
        <w:rPr>
          <w:rFonts w:eastAsia="Calibri" w:cs="Times New Roman"/>
        </w:rPr>
        <w:tab/>
        <w:t>visitors.</w:t>
      </w:r>
    </w:p>
    <w:p w14:paraId="48334A88" w14:textId="77777777" w:rsidR="0067667C" w:rsidRPr="0067667C" w:rsidRDefault="0067667C" w:rsidP="0067667C">
      <w:pPr>
        <w:rPr>
          <w:rFonts w:eastAsia="Calibri" w:cs="Times New Roman"/>
        </w:rPr>
      </w:pPr>
      <w:r w:rsidRPr="0067667C">
        <w:rPr>
          <w:rFonts w:eastAsia="Calibri" w:cs="Times New Roman"/>
        </w:rPr>
        <w:t>(5)</w:t>
      </w:r>
      <w:r w:rsidRPr="0067667C">
        <w:rPr>
          <w:rFonts w:eastAsia="Calibri" w:cs="Times New Roman"/>
        </w:rPr>
        <w:tab/>
        <w:t xml:space="preserve">The bathroom and shower is designed for easy and independent access for all home </w:t>
      </w:r>
      <w:r w:rsidRPr="0067667C">
        <w:rPr>
          <w:rFonts w:eastAsia="Calibri" w:cs="Times New Roman"/>
        </w:rPr>
        <w:tab/>
        <w:t>occupants.</w:t>
      </w:r>
    </w:p>
    <w:p w14:paraId="72BF17B3" w14:textId="77777777" w:rsidR="0067667C" w:rsidRPr="0067667C" w:rsidRDefault="0067667C" w:rsidP="0067667C">
      <w:pPr>
        <w:rPr>
          <w:rFonts w:eastAsia="Calibri" w:cs="Times New Roman"/>
        </w:rPr>
      </w:pPr>
      <w:r w:rsidRPr="0067667C">
        <w:rPr>
          <w:rFonts w:eastAsia="Calibri" w:cs="Times New Roman"/>
        </w:rPr>
        <w:t>(6)</w:t>
      </w:r>
      <w:r w:rsidRPr="0067667C">
        <w:rPr>
          <w:rFonts w:eastAsia="Calibri" w:cs="Times New Roman"/>
        </w:rPr>
        <w:tab/>
        <w:t xml:space="preserve">Bathroom and toilet walls are built to enable grabrails to be safely and economically </w:t>
      </w:r>
      <w:r w:rsidRPr="0067667C">
        <w:rPr>
          <w:rFonts w:eastAsia="Calibri" w:cs="Times New Roman"/>
        </w:rPr>
        <w:tab/>
        <w:t>installed (immediately or in the future).</w:t>
      </w:r>
    </w:p>
    <w:p w14:paraId="27FD1521" w14:textId="77777777" w:rsidR="0067667C" w:rsidRPr="0067667C" w:rsidRDefault="0067667C" w:rsidP="0067667C">
      <w:pPr>
        <w:rPr>
          <w:rFonts w:eastAsia="Calibri" w:cs="Times New Roman"/>
        </w:rPr>
      </w:pPr>
      <w:r w:rsidRPr="0067667C">
        <w:rPr>
          <w:rFonts w:eastAsia="Calibri" w:cs="Times New Roman"/>
        </w:rPr>
        <w:t>(7)</w:t>
      </w:r>
      <w:r w:rsidRPr="0067667C">
        <w:rPr>
          <w:rFonts w:eastAsia="Calibri" w:cs="Times New Roman"/>
        </w:rPr>
        <w:tab/>
        <w:t xml:space="preserve">Where installed, stairways are designed to reduce the likelihood of injury and also </w:t>
      </w:r>
      <w:r w:rsidRPr="0067667C">
        <w:rPr>
          <w:rFonts w:eastAsia="Calibri" w:cs="Times New Roman"/>
        </w:rPr>
        <w:tab/>
        <w:t>enable a safe pathway.</w:t>
      </w:r>
    </w:p>
    <w:p w14:paraId="33206A6E" w14:textId="77777777" w:rsidR="0067667C" w:rsidRPr="0067667C" w:rsidRDefault="0067667C" w:rsidP="0067667C">
      <w:pPr>
        <w:rPr>
          <w:rFonts w:eastAsia="Calibri" w:cs="Times New Roman"/>
        </w:rPr>
      </w:pPr>
      <w:r w:rsidRPr="0067667C">
        <w:rPr>
          <w:rFonts w:eastAsia="Calibri" w:cs="Times New Roman"/>
        </w:rPr>
        <w:t>(8)</w:t>
      </w:r>
      <w:r w:rsidRPr="0067667C">
        <w:rPr>
          <w:rFonts w:eastAsia="Calibri" w:cs="Times New Roman"/>
        </w:rPr>
        <w:tab/>
        <w:t xml:space="preserve">The kitchen space is designed to support ease of movement between fixed benches </w:t>
      </w:r>
      <w:r w:rsidRPr="0067667C">
        <w:rPr>
          <w:rFonts w:eastAsia="Calibri" w:cs="Times New Roman"/>
        </w:rPr>
        <w:tab/>
        <w:t>and to support easy adaptation.</w:t>
      </w:r>
    </w:p>
    <w:p w14:paraId="7D9FD6D3" w14:textId="77777777" w:rsidR="0067667C" w:rsidRPr="0067667C" w:rsidRDefault="0067667C" w:rsidP="0067667C">
      <w:pPr>
        <w:rPr>
          <w:rFonts w:eastAsia="Calibri" w:cs="Times New Roman"/>
        </w:rPr>
      </w:pPr>
      <w:r w:rsidRPr="0067667C">
        <w:rPr>
          <w:rFonts w:eastAsia="Calibri" w:cs="Times New Roman"/>
        </w:rPr>
        <w:t>(9)</w:t>
      </w:r>
      <w:r w:rsidRPr="0067667C">
        <w:rPr>
          <w:rFonts w:eastAsia="Calibri" w:cs="Times New Roman"/>
        </w:rPr>
        <w:tab/>
        <w:t xml:space="preserve">The laundry space is designed to support ease of movement between fixed benches </w:t>
      </w:r>
      <w:r w:rsidRPr="0067667C">
        <w:rPr>
          <w:rFonts w:eastAsia="Calibri" w:cs="Times New Roman"/>
        </w:rPr>
        <w:tab/>
        <w:t>and to support easy adaptation.</w:t>
      </w:r>
    </w:p>
    <w:p w14:paraId="780146D3" w14:textId="77777777" w:rsidR="0067667C" w:rsidRPr="0067667C" w:rsidRDefault="0067667C" w:rsidP="0067667C">
      <w:pPr>
        <w:rPr>
          <w:rFonts w:eastAsia="Calibri" w:cs="Times New Roman"/>
        </w:rPr>
      </w:pPr>
      <w:r w:rsidRPr="0067667C">
        <w:rPr>
          <w:rFonts w:eastAsia="Calibri" w:cs="Times New Roman"/>
        </w:rPr>
        <w:t>(10)</w:t>
      </w:r>
      <w:r w:rsidRPr="0067667C">
        <w:rPr>
          <w:rFonts w:eastAsia="Calibri" w:cs="Times New Roman"/>
        </w:rPr>
        <w:tab/>
        <w:t>There is a space on the ground (or entry) level that can be used as a bedroom.</w:t>
      </w:r>
    </w:p>
    <w:p w14:paraId="6406F553" w14:textId="77777777" w:rsidR="0067667C" w:rsidRPr="0067667C" w:rsidRDefault="0067667C" w:rsidP="0067667C">
      <w:pPr>
        <w:rPr>
          <w:rFonts w:eastAsia="Calibri" w:cs="Times New Roman"/>
        </w:rPr>
      </w:pPr>
      <w:r w:rsidRPr="0067667C">
        <w:rPr>
          <w:rFonts w:eastAsia="Calibri" w:cs="Times New Roman"/>
        </w:rPr>
        <w:t>(11)</w:t>
      </w:r>
      <w:r w:rsidRPr="0067667C">
        <w:rPr>
          <w:rFonts w:eastAsia="Calibri" w:cs="Times New Roman"/>
        </w:rPr>
        <w:tab/>
        <w:t>Light switches are located at heights that are easy to reach for all home occupants.</w:t>
      </w:r>
    </w:p>
    <w:p w14:paraId="79FE67E9" w14:textId="77777777" w:rsidR="0067667C" w:rsidRPr="0067667C" w:rsidRDefault="0067667C" w:rsidP="0067667C">
      <w:pPr>
        <w:rPr>
          <w:rFonts w:eastAsia="Calibri" w:cs="Times New Roman"/>
        </w:rPr>
      </w:pPr>
      <w:r w:rsidRPr="0067667C">
        <w:rPr>
          <w:rFonts w:eastAsia="Calibri" w:cs="Times New Roman"/>
        </w:rPr>
        <w:t>(12)</w:t>
      </w:r>
      <w:r w:rsidRPr="0067667C">
        <w:rPr>
          <w:rFonts w:eastAsia="Calibri" w:cs="Times New Roman"/>
        </w:rPr>
        <w:tab/>
        <w:t>Occupants are able to easily and independently open and close doors.</w:t>
      </w:r>
    </w:p>
    <w:p w14:paraId="2FE55207" w14:textId="77777777" w:rsidR="0067667C" w:rsidRPr="0067667C" w:rsidRDefault="0067667C" w:rsidP="0067667C">
      <w:pPr>
        <w:keepNext/>
        <w:keepLines/>
        <w:spacing w:before="200" w:after="0"/>
        <w:outlineLvl w:val="2"/>
        <w:rPr>
          <w:rFonts w:asciiTheme="majorHAnsi" w:eastAsiaTheme="majorEastAsia" w:hAnsiTheme="majorHAnsi" w:cstheme="majorBidi"/>
          <w:b/>
          <w:bCs/>
          <w:color w:val="002060"/>
          <w:sz w:val="28"/>
        </w:rPr>
      </w:pPr>
      <w:r w:rsidRPr="0067667C">
        <w:rPr>
          <w:rFonts w:asciiTheme="majorHAnsi" w:eastAsiaTheme="majorEastAsia" w:hAnsiTheme="majorHAnsi" w:cstheme="majorBidi"/>
          <w:b/>
          <w:bCs/>
          <w:color w:val="002060"/>
          <w:sz w:val="28"/>
        </w:rPr>
        <w:t>Discussion</w:t>
      </w:r>
    </w:p>
    <w:p w14:paraId="0B889E1A" w14:textId="2F402F9D" w:rsidR="0067667C" w:rsidRPr="0067667C" w:rsidRDefault="0067667C" w:rsidP="0067667C">
      <w:r w:rsidRPr="0067667C">
        <w:t xml:space="preserve">Performance Requirements 8 to 12 apply only to </w:t>
      </w:r>
      <w:r w:rsidR="0098591F">
        <w:t>Option 3</w:t>
      </w:r>
      <w:r w:rsidRPr="0067667C">
        <w:t>, whereas 1 to 7 are also co</w:t>
      </w:r>
      <w:r w:rsidR="00EF48E2">
        <w:t xml:space="preserve">vered by </w:t>
      </w:r>
      <w:r w:rsidR="0098591F">
        <w:t>Option 2</w:t>
      </w:r>
      <w:r w:rsidR="00EF48E2">
        <w:t>, and 2 to 6</w:t>
      </w:r>
      <w:r w:rsidRPr="0067667C">
        <w:t xml:space="preserve"> are also included in </w:t>
      </w:r>
      <w:r w:rsidR="0098591F">
        <w:t>Option 1</w:t>
      </w:r>
      <w:r w:rsidRPr="0067667C">
        <w:t>. For Performance Requirement 7 (stairways), the Gold Level include</w:t>
      </w:r>
      <w:r w:rsidR="00055B80">
        <w:t>s</w:t>
      </w:r>
      <w:r w:rsidRPr="0067667C">
        <w:t xml:space="preserve"> </w:t>
      </w:r>
      <w:r w:rsidR="00200CD7">
        <w:t>p</w:t>
      </w:r>
      <w:r w:rsidRPr="0067667C">
        <w:t>rovisions that are additi</w:t>
      </w:r>
      <w:r w:rsidR="0030617C">
        <w:t>onal to those already provided i</w:t>
      </w:r>
      <w:r w:rsidRPr="0067667C">
        <w:t xml:space="preserve">n the NCC in </w:t>
      </w:r>
      <w:r w:rsidR="00055B80">
        <w:t>relation to the minimum width, configuration and location of the stairway</w:t>
      </w:r>
      <w:r w:rsidRPr="0067667C">
        <w:t xml:space="preserve">. </w:t>
      </w:r>
    </w:p>
    <w:p w14:paraId="132610D5" w14:textId="77777777" w:rsidR="0067667C" w:rsidRPr="0067667C" w:rsidRDefault="0067667C" w:rsidP="0067667C">
      <w:r w:rsidRPr="0067667C">
        <w:t>Performance Requirements 8 to 12 cover several areas that are currently not dealt with in the NCC. These include:</w:t>
      </w:r>
    </w:p>
    <w:p w14:paraId="36607680" w14:textId="77777777" w:rsidR="0067667C" w:rsidRPr="0067667C" w:rsidRDefault="0067667C" w:rsidP="0067667C">
      <w:pPr>
        <w:numPr>
          <w:ilvl w:val="0"/>
          <w:numId w:val="24"/>
        </w:numPr>
        <w:spacing w:after="120"/>
        <w:ind w:left="357" w:hanging="357"/>
      </w:pPr>
      <w:r w:rsidRPr="0067667C">
        <w:t>Kitchen design (Performance Requirement 8) – the current NCC only requires that a kitchen is provided; it does not specify any aspect of its design.</w:t>
      </w:r>
    </w:p>
    <w:p w14:paraId="2DAECC0A" w14:textId="77777777" w:rsidR="0067667C" w:rsidRPr="0067667C" w:rsidRDefault="0067667C" w:rsidP="0067667C">
      <w:pPr>
        <w:numPr>
          <w:ilvl w:val="0"/>
          <w:numId w:val="24"/>
        </w:numPr>
        <w:spacing w:after="120"/>
        <w:ind w:left="357" w:hanging="357"/>
      </w:pPr>
      <w:r w:rsidRPr="0067667C">
        <w:t xml:space="preserve">Laundry design (Performance Requirement 9) – the current NCC only requires that laundry facilities are provided; it does not specify any aspect of their design. For Class 2 buildings, the NCC allows common laundries to be provided as an alternative to one in each apartment. In these cases, the laundry would be considered a common area and would already be captured by the existing accessibility requirements. </w:t>
      </w:r>
    </w:p>
    <w:p w14:paraId="25D676AC" w14:textId="77777777" w:rsidR="0067667C" w:rsidRPr="0067667C" w:rsidRDefault="0067667C" w:rsidP="0067667C">
      <w:pPr>
        <w:numPr>
          <w:ilvl w:val="0"/>
          <w:numId w:val="24"/>
        </w:numPr>
        <w:spacing w:after="120"/>
        <w:ind w:left="357" w:hanging="357"/>
      </w:pPr>
      <w:r w:rsidRPr="0067667C">
        <w:t>Room sizes (Performance Requirement 10) – the current NCC only applies to ceiling heights; it does not set minimum sizes for rooms, nor specify the provision or location of bedrooms.</w:t>
      </w:r>
    </w:p>
    <w:p w14:paraId="2F937290" w14:textId="0C6026E7" w:rsidR="0067667C" w:rsidRPr="0067667C" w:rsidRDefault="0067667C" w:rsidP="0067667C">
      <w:pPr>
        <w:numPr>
          <w:ilvl w:val="0"/>
          <w:numId w:val="24"/>
        </w:numPr>
        <w:spacing w:after="120"/>
        <w:ind w:left="357" w:hanging="357"/>
      </w:pPr>
      <w:r w:rsidRPr="0067667C">
        <w:t xml:space="preserve">Position of light switches (Performance Requirement 11) – this is not covered by the NCC. </w:t>
      </w:r>
    </w:p>
    <w:p w14:paraId="56A8D08C" w14:textId="0BDE141E" w:rsidR="003B356A" w:rsidRPr="00BE1584" w:rsidRDefault="0067667C" w:rsidP="00BE1584">
      <w:pPr>
        <w:numPr>
          <w:ilvl w:val="0"/>
          <w:numId w:val="24"/>
        </w:numPr>
        <w:spacing w:after="120"/>
        <w:ind w:left="357" w:hanging="357"/>
      </w:pPr>
      <w:r w:rsidRPr="0067667C">
        <w:t xml:space="preserve">Design and location of door furniture (Performance Requirement 12) – this is not covered by the NCC for dwellings (other than in relation to </w:t>
      </w:r>
      <w:r w:rsidR="00CD708D">
        <w:t>doors forming part of a pool fence</w:t>
      </w:r>
      <w:r w:rsidRPr="0067667C">
        <w:t>).</w:t>
      </w:r>
      <w:bookmarkStart w:id="28" w:name="_Toc513561533"/>
    </w:p>
    <w:p w14:paraId="72B5CB85" w14:textId="6F421EE9" w:rsidR="00EF48E2" w:rsidRPr="00EF48E2" w:rsidRDefault="00EF48E2" w:rsidP="00754726">
      <w:pPr>
        <w:pStyle w:val="Heading1"/>
      </w:pPr>
      <w:bookmarkStart w:id="29" w:name="_Toc525123765"/>
      <w:r w:rsidRPr="00EF48E2">
        <w:t>Quantification</w:t>
      </w:r>
      <w:bookmarkEnd w:id="28"/>
      <w:bookmarkEnd w:id="29"/>
    </w:p>
    <w:p w14:paraId="434D9BFC" w14:textId="3BEE9846" w:rsidR="00EF48E2" w:rsidRPr="00EF48E2" w:rsidRDefault="00EF48E2" w:rsidP="00EF48E2">
      <w:r w:rsidRPr="00EF48E2">
        <w:t xml:space="preserve">As noted earlier, the NCC is a performance-based code. A performance-based code provides flexibility to meet the Performance Requirements through using the </w:t>
      </w:r>
      <w:r w:rsidR="00F77683">
        <w:t>DtS</w:t>
      </w:r>
      <w:r w:rsidRPr="00EF48E2">
        <w:t xml:space="preserve"> Provisions or by developing Performance Solutions. Performance Solutions can be used to meet any Performance Requirement of the NCC, including those that concern access</w:t>
      </w:r>
      <w:r w:rsidR="009466BA">
        <w:t>ibility</w:t>
      </w:r>
      <w:r w:rsidRPr="00EF48E2">
        <w:t xml:space="preserve">. </w:t>
      </w:r>
    </w:p>
    <w:p w14:paraId="1365F754" w14:textId="5E3465BE" w:rsidR="00EF48E2" w:rsidRPr="00EF48E2" w:rsidRDefault="00EF48E2" w:rsidP="00EF48E2">
      <w:r w:rsidRPr="00EF48E2">
        <w:t xml:space="preserve">However, unquantified, qualitative Performance Requirements can pose a barrier to the use of performance. This is because when Performance Requirements are expressed in subjective terms it becomes difficult to verify when they have been met (other than by comparison </w:t>
      </w:r>
      <w:r w:rsidR="00BE1584">
        <w:t>to</w:t>
      </w:r>
      <w:r w:rsidRPr="00EF48E2">
        <w:t xml:space="preserve"> the DtS Provisions). To address this, the ABCB has prioritised quantifying all of the NCC’s Performance Requirements and/or developing quantified Verification Methods </w:t>
      </w:r>
      <w:r w:rsidR="00BE1584">
        <w:t xml:space="preserve">(VMs) </w:t>
      </w:r>
      <w:r w:rsidRPr="00EF48E2">
        <w:t xml:space="preserve">to improve productivity and building outcomes. </w:t>
      </w:r>
    </w:p>
    <w:p w14:paraId="49CE10C1" w14:textId="0824F837" w:rsidR="00EF48E2" w:rsidRPr="00EF48E2" w:rsidRDefault="00EF48E2" w:rsidP="00EF48E2">
      <w:r w:rsidRPr="00EF48E2">
        <w:t>In general, quantification is achieved either by expressing the Performance Requirement in measurable terms that avoid th</w:t>
      </w:r>
      <w:r w:rsidR="008B2DC7">
        <w:t>e need for subjective judgement</w:t>
      </w:r>
      <w:r w:rsidRPr="00EF48E2">
        <w:t xml:space="preserve"> or by developing </w:t>
      </w:r>
      <w:r w:rsidR="008B2DC7">
        <w:t>VMs</w:t>
      </w:r>
      <w:r w:rsidRPr="00EF48E2">
        <w:t>. VMs are a test, inspection, calculation or other method that can be used to determine if a Performance Solution has met the relevant Performance Requirement(s). While the Performance Requirements are mandatory, the use of a VM is optional</w:t>
      </w:r>
      <w:r w:rsidR="00BE1584">
        <w:t xml:space="preserve">. Using a VM </w:t>
      </w:r>
      <w:r w:rsidRPr="00EF48E2">
        <w:t>is just one way to demonstrate that a Performance Requirement has been met. VMs are generally outlined within the NCC itself, however, other methods can also be used with the agreement of the relevant regulatory authority.</w:t>
      </w:r>
    </w:p>
    <w:p w14:paraId="0165A1A5" w14:textId="406A4375" w:rsidR="00EF48E2" w:rsidRPr="00EF48E2" w:rsidRDefault="00EF48E2" w:rsidP="00EF48E2">
      <w:r w:rsidRPr="00EF48E2">
        <w:t>Should the NCC be amended to set an accessibility standard for housing, this would necessitate the inclusion of potentially several entirely new Performance Requirements into the NCC. Accordingly, such Performance Requirements will need to be expressed in quantified terms, as described above. This may mean that regardless of which option is adopted</w:t>
      </w:r>
      <w:r w:rsidR="008B2DC7">
        <w:t>,</w:t>
      </w:r>
      <w:r w:rsidRPr="00EF48E2">
        <w:t xml:space="preserve"> the wording of the relevant Performance Requirements (as provided in the LHDG) may have to be modified to remove subjective terms, for example:</w:t>
      </w:r>
    </w:p>
    <w:p w14:paraId="32F6EF24" w14:textId="77777777" w:rsidR="00EF48E2" w:rsidRPr="00EF48E2" w:rsidRDefault="00EF48E2" w:rsidP="00EF48E2">
      <w:pPr>
        <w:numPr>
          <w:ilvl w:val="0"/>
          <w:numId w:val="27"/>
        </w:numPr>
        <w:spacing w:after="120"/>
        <w:ind w:left="357" w:hanging="357"/>
      </w:pPr>
      <w:r w:rsidRPr="00EF48E2">
        <w:t>'comfortable and unimpeded movement'</w:t>
      </w:r>
    </w:p>
    <w:p w14:paraId="4640F466" w14:textId="77777777" w:rsidR="00EF48E2" w:rsidRPr="00EF48E2" w:rsidRDefault="00EF48E2" w:rsidP="00EF48E2">
      <w:pPr>
        <w:numPr>
          <w:ilvl w:val="0"/>
          <w:numId w:val="27"/>
        </w:numPr>
        <w:spacing w:after="120"/>
        <w:ind w:left="357" w:hanging="357"/>
      </w:pPr>
      <w:r w:rsidRPr="00EF48E2">
        <w:t>'easy and independent access'</w:t>
      </w:r>
    </w:p>
    <w:p w14:paraId="44ECB480" w14:textId="77777777" w:rsidR="00EF48E2" w:rsidRPr="00EF48E2" w:rsidRDefault="00EF48E2" w:rsidP="00EF48E2">
      <w:pPr>
        <w:numPr>
          <w:ilvl w:val="0"/>
          <w:numId w:val="27"/>
        </w:numPr>
        <w:spacing w:after="120"/>
        <w:ind w:left="357" w:hanging="357"/>
      </w:pPr>
      <w:r w:rsidRPr="00EF48E2">
        <w:t>'safely and economically' installed (regarding grabrails)</w:t>
      </w:r>
    </w:p>
    <w:p w14:paraId="47D56093" w14:textId="77777777" w:rsidR="00EF48E2" w:rsidRPr="00EF48E2" w:rsidRDefault="00EF48E2" w:rsidP="00EF48E2">
      <w:pPr>
        <w:numPr>
          <w:ilvl w:val="0"/>
          <w:numId w:val="27"/>
        </w:numPr>
        <w:spacing w:after="120"/>
        <w:ind w:left="357" w:hanging="357"/>
      </w:pPr>
      <w:r w:rsidRPr="00EF48E2">
        <w:t>'reduce the likelihood of injury'</w:t>
      </w:r>
    </w:p>
    <w:p w14:paraId="5FE6CB94" w14:textId="77777777" w:rsidR="00EF48E2" w:rsidRPr="00EF48E2" w:rsidRDefault="00EF48E2" w:rsidP="00EF48E2">
      <w:pPr>
        <w:numPr>
          <w:ilvl w:val="0"/>
          <w:numId w:val="27"/>
        </w:numPr>
        <w:spacing w:after="120"/>
        <w:ind w:left="357" w:hanging="357"/>
      </w:pPr>
      <w:r w:rsidRPr="00EF48E2">
        <w:t>'easy to reach'</w:t>
      </w:r>
    </w:p>
    <w:p w14:paraId="341CE759" w14:textId="3C0494C9" w:rsidR="00EF48E2" w:rsidRPr="00EF48E2" w:rsidRDefault="00EF48E2" w:rsidP="00EF48E2">
      <w:pPr>
        <w:spacing w:after="120"/>
      </w:pPr>
      <w:r w:rsidRPr="00EF48E2">
        <w:t>Quantifying these subjective phrases would not change the policy intent, but would make future Performance Requirements for housing accessibility more easily understood and</w:t>
      </w:r>
      <w:r w:rsidR="00BE1584">
        <w:t>,</w:t>
      </w:r>
      <w:r w:rsidRPr="00EF48E2">
        <w:t xml:space="preserve"> therefore</w:t>
      </w:r>
      <w:r w:rsidR="00BE1584">
        <w:t>,</w:t>
      </w:r>
      <w:r w:rsidRPr="00EF48E2">
        <w:t xml:space="preserve"> more likely to be applied correctly. This would help ensure their effectiveness and improve outcomes for home occupants.</w:t>
      </w:r>
    </w:p>
    <w:p w14:paraId="53E42177" w14:textId="0AA942DD" w:rsidR="00EF48E2" w:rsidRPr="00EF48E2" w:rsidRDefault="00EF48E2" w:rsidP="00EF48E2">
      <w:pPr>
        <w:spacing w:after="120"/>
      </w:pPr>
      <w:r w:rsidRPr="00EF48E2">
        <w:br w:type="page"/>
      </w:r>
    </w:p>
    <w:p w14:paraId="735A2643" w14:textId="482DDFFD" w:rsidR="00DB371B" w:rsidRDefault="003B356A" w:rsidP="007964FD">
      <w:pPr>
        <w:pStyle w:val="Heading1"/>
      </w:pPr>
      <w:bookmarkStart w:id="30" w:name="_Toc525123766"/>
      <w:r>
        <w:t>Application</w:t>
      </w:r>
      <w:bookmarkEnd w:id="30"/>
    </w:p>
    <w:p w14:paraId="03513834" w14:textId="2833E56E" w:rsidR="003B356A" w:rsidRPr="003B356A" w:rsidRDefault="003B356A" w:rsidP="003B356A">
      <w:r w:rsidRPr="003B356A">
        <w:t>This section discusses some of the practical considerations that may arise if a minimum accessibility standard for housing is applied to 100% of new dwellings</w:t>
      </w:r>
      <w:r>
        <w:t xml:space="preserve">. </w:t>
      </w:r>
      <w:r w:rsidRPr="003B356A">
        <w:t xml:space="preserve">Such a discussion is important given that the extent of the application of an accessibility standard needs to be reasonable (i.e. </w:t>
      </w:r>
      <w:r w:rsidR="0075058C">
        <w:t xml:space="preserve">to </w:t>
      </w:r>
      <w:r w:rsidRPr="003B356A">
        <w:t xml:space="preserve">avoid </w:t>
      </w:r>
      <w:r w:rsidR="00FE6F8C">
        <w:t>unintended consequences</w:t>
      </w:r>
      <w:r w:rsidRPr="003B356A">
        <w:t>) and will have a significant bearing on costs and benefits.</w:t>
      </w:r>
    </w:p>
    <w:p w14:paraId="5DE5DCBC" w14:textId="0372A29E" w:rsidR="003B356A" w:rsidRPr="003B356A" w:rsidRDefault="003B356A" w:rsidP="003B356A">
      <w:r w:rsidRPr="003B356A">
        <w:t xml:space="preserve">The discussion is split into two parts; the first addresses considerations relevant to Class 1a buildings (houses), while the second addresses considerations relevant to Class 2 buildings (apartments). </w:t>
      </w:r>
      <w:r w:rsidR="00BA524C">
        <w:t>A third part raises the issue that planning controls</w:t>
      </w:r>
      <w:r w:rsidR="00235351">
        <w:t>, which</w:t>
      </w:r>
      <w:r w:rsidR="00BA524C">
        <w:t xml:space="preserve"> apply to land subdivision and housing designs</w:t>
      </w:r>
      <w:r w:rsidR="00235351">
        <w:t>,</w:t>
      </w:r>
      <w:r w:rsidR="00BA524C">
        <w:t xml:space="preserve"> may have implications for the application of a housing accessibility standard through the NCC.</w:t>
      </w:r>
    </w:p>
    <w:p w14:paraId="5651FAD4" w14:textId="786F8726" w:rsidR="003B356A" w:rsidRPr="003B356A" w:rsidRDefault="003B356A" w:rsidP="003B356A">
      <w:r w:rsidRPr="003B356A">
        <w:t>Also, it should be noted that the NCC is drafted on the basis that its provisions are not retrospective and</w:t>
      </w:r>
      <w:r w:rsidR="0075058C">
        <w:t>,</w:t>
      </w:r>
      <w:r w:rsidRPr="003B356A">
        <w:t xml:space="preserve"> in general</w:t>
      </w:r>
      <w:r w:rsidR="0075058C">
        <w:t>,</w:t>
      </w:r>
      <w:r w:rsidRPr="003B356A">
        <w:t xml:space="preserve"> are only applied to new buildings. The application of the NCC to extensions, alterations and renovations to existing dwellings is a matter determined by indivi</w:t>
      </w:r>
      <w:r w:rsidR="00F77683">
        <w:t xml:space="preserve">dual jurisdictions under their </w:t>
      </w:r>
      <w:r w:rsidRPr="003B356A">
        <w:t xml:space="preserve">building regulatory systems. </w:t>
      </w:r>
    </w:p>
    <w:p w14:paraId="22108264" w14:textId="69A0B969" w:rsidR="003B356A" w:rsidRDefault="003B356A" w:rsidP="003B356A">
      <w:r w:rsidRPr="003B356A">
        <w:t xml:space="preserve">Given that the NCC is applied by State/Territory building regulations, another possible option for applying an accessibility standard would be for the standard to be set within the NCC, but applied only where specifically nominated for all or a proportion of new dwellings by a State/Territory or Local Government. This would achieve a consistent technical standard, but with a more targeted application. However, such an approach </w:t>
      </w:r>
      <w:r w:rsidR="00A74ED5">
        <w:t xml:space="preserve">would </w:t>
      </w:r>
      <w:r w:rsidRPr="003B356A">
        <w:t xml:space="preserve">also be less likely to achieve national consistency, in terms of the availability of accessible housing. </w:t>
      </w:r>
    </w:p>
    <w:p w14:paraId="3CF7BD89" w14:textId="77777777" w:rsidR="00595333" w:rsidRPr="00595333" w:rsidRDefault="00595333" w:rsidP="00595333">
      <w:pPr>
        <w:keepNext/>
        <w:keepLines/>
        <w:spacing w:before="200" w:after="0"/>
        <w:outlineLvl w:val="1"/>
        <w:rPr>
          <w:rFonts w:asciiTheme="majorHAnsi" w:eastAsiaTheme="majorEastAsia" w:hAnsiTheme="majorHAnsi" w:cstheme="majorBidi"/>
          <w:b/>
          <w:bCs/>
          <w:color w:val="002060"/>
          <w:sz w:val="32"/>
          <w:szCs w:val="26"/>
        </w:rPr>
      </w:pPr>
      <w:r w:rsidRPr="00595333">
        <w:rPr>
          <w:rFonts w:asciiTheme="majorHAnsi" w:eastAsiaTheme="majorEastAsia" w:hAnsiTheme="majorHAnsi" w:cstheme="majorBidi"/>
          <w:b/>
          <w:bCs/>
          <w:color w:val="002060"/>
          <w:sz w:val="32"/>
          <w:szCs w:val="26"/>
        </w:rPr>
        <w:t>Class 1a Buildings (Houses)</w:t>
      </w:r>
    </w:p>
    <w:p w14:paraId="072EF46F" w14:textId="77777777" w:rsidR="00595333" w:rsidRPr="00595333" w:rsidRDefault="00595333" w:rsidP="00595333">
      <w:r w:rsidRPr="00595333">
        <w:t xml:space="preserve">Class 1a buildings include detached houses, as well as attached dwellings such as terraces, row houses, villa units and townhouses, so long as they are not situated on top of or underneath another dwelling. </w:t>
      </w:r>
    </w:p>
    <w:p w14:paraId="2F63FAA0" w14:textId="13B20C16" w:rsidR="00595333" w:rsidRPr="00595333" w:rsidRDefault="00F44924" w:rsidP="00595333">
      <w:r>
        <w:t>I</w:t>
      </w:r>
      <w:r w:rsidR="00595333" w:rsidRPr="00595333">
        <w:t>t is outside the scope of the NCC to set quotas</w:t>
      </w:r>
      <w:r w:rsidR="00595333">
        <w:t xml:space="preserve"> to apply to any specific standards</w:t>
      </w:r>
      <w:r w:rsidR="002401B7">
        <w:t xml:space="preserve"> for Class 1a buildings, e</w:t>
      </w:r>
      <w:r w:rsidR="008B2DC7">
        <w:t>ven for multi-</w:t>
      </w:r>
      <w:r w:rsidR="002401B7">
        <w:t>dwelling developments where all dwellings</w:t>
      </w:r>
      <w:r w:rsidR="00595333" w:rsidRPr="00595333">
        <w:t xml:space="preserve"> are constructed at the same time as part of the same development to the same minimum requirements. Accordingly, an accessibility standard would need to apply equally to all individual Class 1a buildings, unless quotas are set by governments through planning controls. There are also </w:t>
      </w:r>
      <w:r w:rsidR="00BA524C">
        <w:t xml:space="preserve">site constraints and </w:t>
      </w:r>
      <w:r w:rsidR="00595333" w:rsidRPr="00595333">
        <w:t>design parameters, such as gradients, which as is the case with the LHDG, may need to be included as thresholds that exclude some developments from their application.  This gives rise to some practical considerations, which are explored below:</w:t>
      </w:r>
    </w:p>
    <w:p w14:paraId="29929DB9" w14:textId="77777777" w:rsidR="00595333" w:rsidRPr="00595333" w:rsidRDefault="00595333" w:rsidP="00595333">
      <w:pPr>
        <w:numPr>
          <w:ilvl w:val="0"/>
          <w:numId w:val="32"/>
        </w:numPr>
        <w:spacing w:after="120"/>
        <w:ind w:left="357" w:hanging="357"/>
      </w:pPr>
      <w:r w:rsidRPr="00595333">
        <w:t>If a step-free path is required from the property boundary/parking space (as per LHDG Silver/Gold), this may be difficult to achieve on steep allotments due to the amount of ramping that may be required. The LHDG currently includes an exemption from this requirement for allotments with a gradient steeper than 1:14.</w:t>
      </w:r>
    </w:p>
    <w:p w14:paraId="78B994A0" w14:textId="02B73A16" w:rsidR="00595333" w:rsidRPr="00595333" w:rsidRDefault="00595333" w:rsidP="00595333">
      <w:pPr>
        <w:numPr>
          <w:ilvl w:val="0"/>
          <w:numId w:val="32"/>
        </w:numPr>
        <w:spacing w:after="120"/>
        <w:ind w:left="357" w:hanging="357"/>
      </w:pPr>
      <w:r w:rsidRPr="00595333">
        <w:t>Even on allotments that are not steeper than 1:14, there may be cases where there is  insufficient space between an entry door and the property boundary or parking space to allow for construction of a ramp (i.e. step free entry</w:t>
      </w:r>
      <w:r w:rsidR="00E77229">
        <w:t xml:space="preserve"> path</w:t>
      </w:r>
      <w:r w:rsidRPr="00595333">
        <w:t>).</w:t>
      </w:r>
    </w:p>
    <w:p w14:paraId="0287B6D7" w14:textId="45438854" w:rsidR="00595333" w:rsidRPr="00595333" w:rsidRDefault="00595333" w:rsidP="00595333">
      <w:pPr>
        <w:numPr>
          <w:ilvl w:val="0"/>
          <w:numId w:val="32"/>
        </w:numPr>
        <w:spacing w:after="120"/>
        <w:ind w:left="357" w:hanging="357"/>
      </w:pPr>
      <w:r w:rsidRPr="00595333">
        <w:t>Also, as noted earlier (discussion of Option 1), it is possible that requiring a step free path to the entry would restrict the construction of dwellings with a framed sub</w:t>
      </w:r>
      <w:r w:rsidR="00E54418">
        <w:t>-floor space as opposed to slab-on-</w:t>
      </w:r>
      <w:r w:rsidRPr="00595333">
        <w:t>ground</w:t>
      </w:r>
      <w:r w:rsidR="00BA524C">
        <w:t>, for example in flood-prone areas or common elevated housing designs</w:t>
      </w:r>
      <w:r w:rsidR="00E54418">
        <w:t>,</w:t>
      </w:r>
      <w:r w:rsidR="00BA524C">
        <w:t xml:space="preserve"> such as those in tropical climates (</w:t>
      </w:r>
      <w:r w:rsidR="00DA3557">
        <w:t>e.g.</w:t>
      </w:r>
      <w:r w:rsidR="00BA524C">
        <w:t xml:space="preserve"> 'Queenslander' style homes)</w:t>
      </w:r>
      <w:r w:rsidRPr="00595333">
        <w:t>.</w:t>
      </w:r>
    </w:p>
    <w:p w14:paraId="2B7DFB32" w14:textId="607E196C" w:rsidR="00595333" w:rsidRPr="00595333" w:rsidRDefault="00595333" w:rsidP="00595333">
      <w:pPr>
        <w:numPr>
          <w:ilvl w:val="0"/>
          <w:numId w:val="32"/>
        </w:numPr>
        <w:spacing w:after="120"/>
        <w:ind w:left="357" w:hanging="357"/>
      </w:pPr>
      <w:r w:rsidRPr="00595333">
        <w:t xml:space="preserve">For dwellings of two or more storeys on narrow allotments, there may be insufficient space to provide a toilet or a bedroom space (Gold Level only) on the ground/entry level, or meet minimum requirements for the width of doors and internal corridors. </w:t>
      </w:r>
      <w:r w:rsidR="00BA524C">
        <w:t>For example, terrace or row housing can be permitted in many jurisdictions on sites with a narrow frontage with built-to-boundary (side and front) construction.</w:t>
      </w:r>
    </w:p>
    <w:p w14:paraId="1B1A83A3" w14:textId="30A5F748" w:rsidR="00595333" w:rsidRPr="00595333" w:rsidRDefault="00595333" w:rsidP="00595333">
      <w:pPr>
        <w:numPr>
          <w:ilvl w:val="0"/>
          <w:numId w:val="32"/>
        </w:numPr>
        <w:spacing w:after="120"/>
        <w:ind w:left="357" w:hanging="357"/>
      </w:pPr>
      <w:r w:rsidRPr="00595333">
        <w:t>Requiring a toilet on the ground/entry level may preclude the construction of dwellings where only a garage is provided on that</w:t>
      </w:r>
      <w:r w:rsidR="008B2DC7">
        <w:t xml:space="preserve"> level</w:t>
      </w:r>
      <w:r w:rsidRPr="00595333">
        <w:t xml:space="preserve"> and all habitable rooms are on the upper level/s.</w:t>
      </w:r>
    </w:p>
    <w:p w14:paraId="6338BFDB" w14:textId="77777777" w:rsidR="00595333" w:rsidRPr="00595333" w:rsidRDefault="00595333" w:rsidP="00595333">
      <w:pPr>
        <w:keepNext/>
        <w:keepLines/>
        <w:spacing w:before="200" w:after="0"/>
        <w:outlineLvl w:val="1"/>
        <w:rPr>
          <w:rFonts w:asciiTheme="majorHAnsi" w:eastAsiaTheme="majorEastAsia" w:hAnsiTheme="majorHAnsi" w:cstheme="majorBidi"/>
          <w:b/>
          <w:bCs/>
          <w:color w:val="002060"/>
          <w:sz w:val="32"/>
          <w:szCs w:val="26"/>
        </w:rPr>
      </w:pPr>
      <w:r w:rsidRPr="00595333">
        <w:rPr>
          <w:rFonts w:asciiTheme="majorHAnsi" w:eastAsiaTheme="majorEastAsia" w:hAnsiTheme="majorHAnsi" w:cstheme="majorBidi"/>
          <w:b/>
          <w:bCs/>
          <w:color w:val="002060"/>
          <w:sz w:val="32"/>
          <w:szCs w:val="26"/>
        </w:rPr>
        <w:t>Class 2 Buildings (Apartments)</w:t>
      </w:r>
    </w:p>
    <w:p w14:paraId="132524E1" w14:textId="77777777" w:rsidR="00595333" w:rsidRPr="00595333" w:rsidRDefault="00595333" w:rsidP="00595333">
      <w:r w:rsidRPr="00595333">
        <w:t>Class 2 buildings are apartment buildings, including each individual apartment as well as any common areas within the building. If an accessibility standard were applied to all individual apartments, as opposed to a proportion or 'quota' of apartments, then this could give rise to the following practical considerations:</w:t>
      </w:r>
    </w:p>
    <w:p w14:paraId="130489EF" w14:textId="457F2028" w:rsidR="00595333" w:rsidRPr="00595333" w:rsidRDefault="00595333" w:rsidP="00595333">
      <w:pPr>
        <w:numPr>
          <w:ilvl w:val="0"/>
          <w:numId w:val="33"/>
        </w:numPr>
        <w:spacing w:after="120"/>
        <w:ind w:left="357" w:hanging="357"/>
      </w:pPr>
      <w:r w:rsidRPr="00595333">
        <w:t>If the step-free path requirement was applied to all apartme</w:t>
      </w:r>
      <w:r w:rsidR="001456EC">
        <w:t>nts in smaller buildings (e.g. three-</w:t>
      </w:r>
      <w:r w:rsidRPr="00595333">
        <w:t>storey 'walk-up' buildings), this may require such buildings to be provided with a lift, which could add significantly to construction and ongoing maintenance costs.</w:t>
      </w:r>
    </w:p>
    <w:p w14:paraId="302C4029" w14:textId="77777777" w:rsidR="00595333" w:rsidRPr="00595333" w:rsidRDefault="00595333" w:rsidP="00595333">
      <w:pPr>
        <w:numPr>
          <w:ilvl w:val="0"/>
          <w:numId w:val="33"/>
        </w:numPr>
        <w:spacing w:after="120"/>
        <w:ind w:left="357" w:hanging="357"/>
      </w:pPr>
      <w:r w:rsidRPr="00595333">
        <w:t>If the step-free path requirement was applied between each apartment and its allocated parking space (where provided), this may add to the need for ramps or lifts in buildings where the carpark is not otherwise served by a lift (e.g. where it is external to the building).</w:t>
      </w:r>
    </w:p>
    <w:p w14:paraId="2CA6306C" w14:textId="5424C277" w:rsidR="00595333" w:rsidRPr="00595333" w:rsidRDefault="00595333" w:rsidP="00595333">
      <w:pPr>
        <w:numPr>
          <w:ilvl w:val="0"/>
          <w:numId w:val="33"/>
        </w:numPr>
        <w:spacing w:after="120"/>
        <w:ind w:left="357" w:hanging="357"/>
      </w:pPr>
      <w:r w:rsidRPr="00595333">
        <w:t xml:space="preserve">Increasing the size of internal doorways, hallways and bathrooms would likely mean corresponding loss of space from other parts of dwellings, unless the footprint of the building overall were increased to allow for the extra </w:t>
      </w:r>
      <w:r w:rsidR="00A74ED5" w:rsidRPr="00595333">
        <w:t>floor space</w:t>
      </w:r>
      <w:r w:rsidRPr="00595333">
        <w:t>.</w:t>
      </w:r>
    </w:p>
    <w:p w14:paraId="6CF7CA10" w14:textId="7E9C7CAB" w:rsidR="003B356A" w:rsidRDefault="00595333" w:rsidP="00595333">
      <w:r w:rsidRPr="00595333">
        <w:t>Note, the NCC already includes some accessibility provisions for common areas in Class 2 buildings, these are described under 'Current Situation'.</w:t>
      </w:r>
    </w:p>
    <w:p w14:paraId="7F42396A" w14:textId="2EA7C05B" w:rsidR="000374C5" w:rsidRDefault="000374C5" w:rsidP="000374C5">
      <w:pPr>
        <w:pStyle w:val="Heading2"/>
      </w:pPr>
      <w:r>
        <w:t xml:space="preserve">Site Constraints </w:t>
      </w:r>
    </w:p>
    <w:p w14:paraId="125D3EFE" w14:textId="6DADFFEF" w:rsidR="006B1228" w:rsidRDefault="000374C5" w:rsidP="000374C5">
      <w:r>
        <w:t xml:space="preserve">In considering the most appropriate application of any minimum necessary accessibility standard for housing (based on any of the Options discussed earlier), it will be necessary to gain a better understanding </w:t>
      </w:r>
      <w:r w:rsidR="006B1228">
        <w:t xml:space="preserve">of the site constraints and design limitations that may exist in current land subdivision and dwelling design standards that </w:t>
      </w:r>
      <w:r w:rsidR="00235351">
        <w:t>operate</w:t>
      </w:r>
      <w:r w:rsidR="006B1228">
        <w:t xml:space="preserve"> under local planning regulations.</w:t>
      </w:r>
    </w:p>
    <w:p w14:paraId="0CCC96CB" w14:textId="77777777" w:rsidR="006B1228" w:rsidRDefault="006B1228">
      <w:pPr>
        <w:jc w:val="left"/>
      </w:pPr>
      <w:r>
        <w:br w:type="page"/>
      </w:r>
    </w:p>
    <w:p w14:paraId="3259809C" w14:textId="20F1E36C" w:rsidR="000374C5" w:rsidRDefault="006B1228" w:rsidP="006B1228">
      <w:pPr>
        <w:pStyle w:val="Heading1"/>
      </w:pPr>
      <w:bookmarkStart w:id="31" w:name="_Toc525123767"/>
      <w:r>
        <w:t>Preliminary Costings</w:t>
      </w:r>
      <w:r w:rsidR="000114D8">
        <w:t>—New Buildings</w:t>
      </w:r>
      <w:bookmarkEnd w:id="31"/>
    </w:p>
    <w:p w14:paraId="4F7FCF65" w14:textId="37650005" w:rsidR="0085186E" w:rsidRDefault="002F7785" w:rsidP="002F7785">
      <w:r>
        <w:t>This section is</w:t>
      </w:r>
      <w:r w:rsidRPr="00FE5740">
        <w:t xml:space="preserve"> based on the advice of </w:t>
      </w:r>
      <w:r>
        <w:t xml:space="preserve">quantity surveyors </w:t>
      </w:r>
      <w:r w:rsidRPr="00FE5740">
        <w:t xml:space="preserve">Donald Cant Watts Corke (DCWC), who were contracted by the ABCB to estimate the potential additional construction costs associated with the adoption of and compliance with the LHDG Silver and Gold </w:t>
      </w:r>
      <w:r w:rsidRPr="00C46104">
        <w:t>level</w:t>
      </w:r>
      <w:r w:rsidRPr="00FE5740">
        <w:t xml:space="preserve"> specifications</w:t>
      </w:r>
      <w:r w:rsidR="004A308E">
        <w:t xml:space="preserve"> (Options 2 and 3)</w:t>
      </w:r>
      <w:r w:rsidRPr="00FE5740">
        <w:t xml:space="preserve">, applied </w:t>
      </w:r>
      <w:r w:rsidR="00B83EB8">
        <w:t xml:space="preserve">as part of constructing a new </w:t>
      </w:r>
      <w:r w:rsidRPr="00FE5740">
        <w:t xml:space="preserve">Class 1a </w:t>
      </w:r>
      <w:r>
        <w:t>house</w:t>
      </w:r>
      <w:r w:rsidRPr="00FE5740">
        <w:t xml:space="preserve"> </w:t>
      </w:r>
      <w:r w:rsidR="0082696B">
        <w:t xml:space="preserve">or </w:t>
      </w:r>
      <w:r w:rsidRPr="00FE5740">
        <w:t xml:space="preserve">Class 2 apartment building. </w:t>
      </w:r>
    </w:p>
    <w:p w14:paraId="7BEF1EEB" w14:textId="38BE91F0" w:rsidR="002F7785" w:rsidRDefault="002F7785" w:rsidP="002F7785">
      <w:r w:rsidRPr="007975CC">
        <w:t>DCWC were asked to prepare estimates for Class 1a and Class 2 building</w:t>
      </w:r>
      <w:r w:rsidR="00F45A58">
        <w:t>s</w:t>
      </w:r>
      <w:r w:rsidRPr="007975CC">
        <w:t xml:space="preserve">, </w:t>
      </w:r>
      <w:r>
        <w:t>based on</w:t>
      </w:r>
      <w:r w:rsidRPr="007975CC">
        <w:t xml:space="preserve"> the alternative Silver and Gold specifications defined in the LHDG. Given the very broad range of housing designs and individual site limitations and constraints, it was inappropriate to attempt to represent the impacts of compliance with the LHDG on </w:t>
      </w:r>
      <w:r w:rsidR="00C46104">
        <w:t>every possible</w:t>
      </w:r>
      <w:r w:rsidR="00C46104" w:rsidRPr="007975CC">
        <w:t xml:space="preserve"> </w:t>
      </w:r>
      <w:r w:rsidRPr="007975CC">
        <w:t>case</w:t>
      </w:r>
      <w:r w:rsidRPr="007975CC">
        <w:rPr>
          <w:vertAlign w:val="superscript"/>
        </w:rPr>
        <w:footnoteReference w:id="43"/>
      </w:r>
      <w:r w:rsidRPr="007975CC">
        <w:t xml:space="preserve"> with a single impact scenario.</w:t>
      </w:r>
      <w:r>
        <w:t xml:space="preserve"> Instead, the costings represent </w:t>
      </w:r>
      <w:r w:rsidR="0066267D">
        <w:t xml:space="preserve">an estimate of </w:t>
      </w:r>
      <w:r>
        <w:t>the</w:t>
      </w:r>
      <w:r w:rsidR="0066267D">
        <w:t xml:space="preserve"> typical</w:t>
      </w:r>
      <w:r>
        <w:t xml:space="preserve"> 'weighted average impact cost' per dwelling. </w:t>
      </w:r>
    </w:p>
    <w:p w14:paraId="5EC01305" w14:textId="00EEF872" w:rsidR="0004528E" w:rsidRDefault="002F7785" w:rsidP="002F7785">
      <w:r>
        <w:t xml:space="preserve">The 'weighted average impact cost' represents a </w:t>
      </w:r>
      <w:r w:rsidRPr="007975CC">
        <w:t xml:space="preserve">range of scenarios </w:t>
      </w:r>
      <w:r>
        <w:t>that have</w:t>
      </w:r>
      <w:r w:rsidRPr="007975CC">
        <w:t xml:space="preserve"> been selected and assessed on the basis of identifying a typical 'high', 'medium' and 'low' </w:t>
      </w:r>
      <w:r w:rsidR="001C55E6">
        <w:t xml:space="preserve">cost </w:t>
      </w:r>
      <w:r w:rsidRPr="007975CC">
        <w:t xml:space="preserve">impact for  </w:t>
      </w:r>
      <w:r w:rsidR="001C55E6">
        <w:t xml:space="preserve">each of </w:t>
      </w:r>
      <w:r w:rsidR="0004528E">
        <w:t>Options 1, 2 and 3</w:t>
      </w:r>
      <w:r w:rsidRPr="007975CC">
        <w:t xml:space="preserve">. </w:t>
      </w:r>
    </w:p>
    <w:p w14:paraId="4DCCAAAE" w14:textId="7CCC7EC3" w:rsidR="0004528E" w:rsidRDefault="0004528E" w:rsidP="0004528E">
      <w:pPr>
        <w:pStyle w:val="ListParagraph"/>
        <w:numPr>
          <w:ilvl w:val="0"/>
          <w:numId w:val="38"/>
        </w:numPr>
        <w:spacing w:after="120"/>
        <w:ind w:left="357" w:hanging="357"/>
        <w:contextualSpacing w:val="0"/>
      </w:pPr>
      <w:r>
        <w:t>The ‘Low’ impact scenario represents house/apartment designs that would require little or no change</w:t>
      </w:r>
      <w:r w:rsidR="00987499">
        <w:t xml:space="preserve"> to comply with the proposed requirements</w:t>
      </w:r>
      <w:r w:rsidR="00F67A21">
        <w:t xml:space="preserve"> </w:t>
      </w:r>
      <w:r w:rsidR="00F67A21" w:rsidRPr="00F67A21">
        <w:t>because</w:t>
      </w:r>
      <w:r w:rsidR="00E5479B">
        <w:t xml:space="preserve"> </w:t>
      </w:r>
      <w:r w:rsidR="00F67A21" w:rsidRPr="00F67A21">
        <w:t xml:space="preserve">they already </w:t>
      </w:r>
      <w:r w:rsidR="00F67A21">
        <w:t>incorporate the design elements</w:t>
      </w:r>
      <w:r>
        <w:t>.</w:t>
      </w:r>
    </w:p>
    <w:p w14:paraId="2D37947F" w14:textId="18683A14" w:rsidR="0004528E" w:rsidRDefault="0004528E" w:rsidP="0004528E">
      <w:pPr>
        <w:pStyle w:val="ListParagraph"/>
        <w:numPr>
          <w:ilvl w:val="0"/>
          <w:numId w:val="38"/>
        </w:numPr>
        <w:spacing w:after="120"/>
        <w:ind w:left="357" w:hanging="357"/>
        <w:contextualSpacing w:val="0"/>
      </w:pPr>
      <w:r>
        <w:t>The ‘Medium’ impact scenario represents house/apartment designs that would require moderate changes</w:t>
      </w:r>
      <w:r w:rsidR="00987499">
        <w:t xml:space="preserve"> to comply with the proposed requirements</w:t>
      </w:r>
      <w:r>
        <w:t>.</w:t>
      </w:r>
    </w:p>
    <w:p w14:paraId="3E000D5C" w14:textId="5DCAC16E" w:rsidR="0004528E" w:rsidRDefault="0004528E" w:rsidP="0004528E">
      <w:pPr>
        <w:pStyle w:val="ListParagraph"/>
        <w:numPr>
          <w:ilvl w:val="0"/>
          <w:numId w:val="38"/>
        </w:numPr>
        <w:spacing w:after="120"/>
        <w:ind w:left="357" w:hanging="357"/>
        <w:contextualSpacing w:val="0"/>
      </w:pPr>
      <w:r>
        <w:t>The ‘High’ impact scenario represents house/apartment designs that would require significant changes</w:t>
      </w:r>
      <w:r w:rsidR="00987499">
        <w:t xml:space="preserve"> to comply with the proposed requirements</w:t>
      </w:r>
      <w:r>
        <w:t>.</w:t>
      </w:r>
    </w:p>
    <w:p w14:paraId="30F70210" w14:textId="6B294E3B" w:rsidR="00604E04" w:rsidRDefault="002F7785" w:rsidP="002F7785">
      <w:r w:rsidRPr="007975CC">
        <w:t>The purpose of th</w:t>
      </w:r>
      <w:r>
        <w:t>is</w:t>
      </w:r>
      <w:r w:rsidRPr="007975CC">
        <w:t xml:space="preserve"> approach is to reflect that</w:t>
      </w:r>
      <w:r w:rsidR="001456EC">
        <w:t>,</w:t>
      </w:r>
      <w:r w:rsidRPr="007975CC">
        <w:t xml:space="preserve"> in some cases, the </w:t>
      </w:r>
      <w:r w:rsidR="0004528E">
        <w:t>additional cost</w:t>
      </w:r>
      <w:r w:rsidR="0004528E" w:rsidRPr="007975CC">
        <w:t xml:space="preserve"> </w:t>
      </w:r>
      <w:r w:rsidRPr="007975CC">
        <w:t>of compliance with the LHDG would be low where certain accessibility features are already provid</w:t>
      </w:r>
      <w:r w:rsidR="001456EC">
        <w:t>ed as part of standard practice;</w:t>
      </w:r>
      <w:r w:rsidRPr="007975CC">
        <w:t xml:space="preserve"> medium where such features only require moderate changes to standard practice</w:t>
      </w:r>
      <w:r w:rsidR="001456EC">
        <w:t>;</w:t>
      </w:r>
      <w:r w:rsidRPr="007975CC">
        <w:t xml:space="preserve"> and high where such features would require a substantial change to standard practice.</w:t>
      </w:r>
      <w:r>
        <w:t xml:space="preserve"> The low, medium and high cost scenarios are then weighted according to DCWC's estimate of the proportion of the market that each represents. </w:t>
      </w:r>
    </w:p>
    <w:p w14:paraId="1F820B4B" w14:textId="48AB1F49" w:rsidR="002F7785" w:rsidRPr="007975CC" w:rsidRDefault="00604E04" w:rsidP="00604E04">
      <w:pPr>
        <w:pBdr>
          <w:top w:val="single" w:sz="4" w:space="1" w:color="auto"/>
          <w:left w:val="single" w:sz="4" w:space="4" w:color="auto"/>
          <w:bottom w:val="single" w:sz="4" w:space="1" w:color="auto"/>
          <w:right w:val="single" w:sz="4" w:space="4" w:color="auto"/>
        </w:pBdr>
      </w:pPr>
      <w:r w:rsidRPr="00604E04">
        <w:rPr>
          <w:b/>
        </w:rPr>
        <w:t>Note</w:t>
      </w:r>
      <w:r>
        <w:t xml:space="preserve">: </w:t>
      </w:r>
      <w:r w:rsidRPr="00604E04">
        <w:t>Detailed explanation of the Low, Medium and High impact scenarios is provided in Appendix A</w:t>
      </w:r>
      <w:r>
        <w:t>.</w:t>
      </w:r>
    </w:p>
    <w:p w14:paraId="77663ED6" w14:textId="6E5CED42" w:rsidR="002F7785" w:rsidRPr="007975CC" w:rsidRDefault="002F7785" w:rsidP="002F7785">
      <w:r>
        <w:t xml:space="preserve">The weighted average impact cost for </w:t>
      </w:r>
      <w:r w:rsidR="004A308E">
        <w:t>Option 1</w:t>
      </w:r>
      <w:r>
        <w:t xml:space="preserve"> was derived by the ABCB using the information provided by DCWC. This was done by subtracting the costs related to items not included in the </w:t>
      </w:r>
      <w:r w:rsidR="007D169A">
        <w:t>Option 1</w:t>
      </w:r>
      <w:r>
        <w:t xml:space="preserve"> specification from the costs provided by DCWC related to the Silver Level specification</w:t>
      </w:r>
      <w:r w:rsidR="004A308E">
        <w:t xml:space="preserve"> (Option 2)</w:t>
      </w:r>
      <w:r>
        <w:t>.</w:t>
      </w:r>
    </w:p>
    <w:p w14:paraId="28859FE3" w14:textId="77777777" w:rsidR="002F7785" w:rsidRDefault="002F7785" w:rsidP="002F7785">
      <w:r w:rsidRPr="007975CC">
        <w:t>The</w:t>
      </w:r>
      <w:r>
        <w:t>se</w:t>
      </w:r>
      <w:r w:rsidRPr="007975CC">
        <w:t xml:space="preserve"> cost estimates do not include additional temporary transition costs; rather, they are based on the sustained, ongoing </w:t>
      </w:r>
      <w:r>
        <w:t xml:space="preserve">capital </w:t>
      </w:r>
      <w:r w:rsidRPr="007975CC">
        <w:t>cost of compliance following a phase of initial adoption and adaptation of existing practices.</w:t>
      </w:r>
    </w:p>
    <w:p w14:paraId="69A5115F" w14:textId="5A5A497B" w:rsidR="00C04824" w:rsidRPr="005B3452" w:rsidRDefault="00C04824" w:rsidP="00C04824">
      <w:r w:rsidRPr="005B3452">
        <w:t>Cost impact</w:t>
      </w:r>
      <w:r>
        <w:t>s</w:t>
      </w:r>
      <w:r w:rsidRPr="005B3452">
        <w:t xml:space="preserve"> were estimated on the basis of</w:t>
      </w:r>
      <w:r>
        <w:t>:</w:t>
      </w:r>
    </w:p>
    <w:p w14:paraId="7C985A5A" w14:textId="77777777" w:rsidR="00C04824" w:rsidRPr="005B3452" w:rsidRDefault="00C04824" w:rsidP="00C04824">
      <w:r w:rsidRPr="005B3452">
        <w:t>(i)</w:t>
      </w:r>
      <w:r w:rsidRPr="005B3452">
        <w:tab/>
        <w:t xml:space="preserve">products/materials; </w:t>
      </w:r>
    </w:p>
    <w:p w14:paraId="7BCF1DA9" w14:textId="77777777" w:rsidR="00C04824" w:rsidRPr="005B3452" w:rsidRDefault="00C04824" w:rsidP="00C04824">
      <w:r w:rsidRPr="005B3452">
        <w:t>(ii)</w:t>
      </w:r>
      <w:r w:rsidRPr="005B3452">
        <w:tab/>
        <w:t>labour/design costs; and</w:t>
      </w:r>
    </w:p>
    <w:p w14:paraId="53B1DD0C" w14:textId="77777777" w:rsidR="00C04824" w:rsidRPr="005B3452" w:rsidRDefault="00C04824" w:rsidP="00C04824">
      <w:r w:rsidRPr="005B3452">
        <w:t>(iii)</w:t>
      </w:r>
      <w:r w:rsidRPr="005B3452">
        <w:tab/>
        <w:t xml:space="preserve">the value of each square metre (or part thereof) that would be lost to other uses as a </w:t>
      </w:r>
      <w:r w:rsidRPr="005B3452">
        <w:tab/>
        <w:t>result of compliance with the LHDG.</w:t>
      </w:r>
    </w:p>
    <w:p w14:paraId="6979EA8D" w14:textId="77777777" w:rsidR="00C04824" w:rsidRPr="005B3452" w:rsidRDefault="00C04824" w:rsidP="00C04824">
      <w:r w:rsidRPr="005B3452">
        <w:t>Items (i) and (ii) comprise the basic components of a quantity survey. Item (iii) has been included in recognition that required extra floor space has a value that must be factored into any cost calculation. This value exists regardless of whether the required floor space is obtained by expanding the building footprint or by reducing the size of adjacent rooms.</w:t>
      </w:r>
    </w:p>
    <w:p w14:paraId="05281139" w14:textId="7F2A0C24" w:rsidR="00C04824" w:rsidRDefault="00C04824" w:rsidP="00C04824">
      <w:r w:rsidRPr="005B3452">
        <w:t>The cost base for item (iii), above, was the per square metre construct</w:t>
      </w:r>
      <w:r w:rsidR="00BF1247">
        <w:t>ion</w:t>
      </w:r>
      <w:r w:rsidRPr="005B3452">
        <w:t xml:space="preserve"> cost of the extra floor area required to achie</w:t>
      </w:r>
      <w:r w:rsidR="007E6D20">
        <w:t>ve compliance. For example, if one</w:t>
      </w:r>
      <w:r w:rsidRPr="005B3452">
        <w:t xml:space="preserve"> extra square metre of bathroom space is required, then that space is valued on the</w:t>
      </w:r>
      <w:r w:rsidR="007E6D20">
        <w:t xml:space="preserve"> basis of the cost of building one</w:t>
      </w:r>
      <w:r w:rsidRPr="005B3452">
        <w:t xml:space="preserve"> square metre of bathroom. This approach provides a way of consistently </w:t>
      </w:r>
      <w:r w:rsidR="00D60253" w:rsidRPr="005B3452">
        <w:t>valu</w:t>
      </w:r>
      <w:r w:rsidR="00D60253">
        <w:t>i</w:t>
      </w:r>
      <w:r w:rsidR="00D60253" w:rsidRPr="005B3452">
        <w:t>ng</w:t>
      </w:r>
      <w:r w:rsidRPr="005B3452">
        <w:t xml:space="preserve"> floor</w:t>
      </w:r>
      <w:r w:rsidR="003E458D">
        <w:t xml:space="preserve"> </w:t>
      </w:r>
      <w:r w:rsidRPr="005B3452">
        <w:t xml:space="preserve">space, independent of the potential sale value of that space, which </w:t>
      </w:r>
      <w:r>
        <w:t>c</w:t>
      </w:r>
      <w:r w:rsidRPr="005B3452">
        <w:t>ould vary significantly between locations because of</w:t>
      </w:r>
      <w:r>
        <w:t xml:space="preserve"> differences in local property values</w:t>
      </w:r>
      <w:r w:rsidRPr="005B3452">
        <w:t xml:space="preserve">. </w:t>
      </w:r>
    </w:p>
    <w:p w14:paraId="452B19F4" w14:textId="54C1EAF8" w:rsidR="00420A83" w:rsidRDefault="00420A83" w:rsidP="00C04824">
      <w:r>
        <w:t xml:space="preserve">It is important to stress that these are preliminary costs and do not form part of any regulatory impact assessment at this stage. </w:t>
      </w:r>
    </w:p>
    <w:p w14:paraId="610752AC" w14:textId="78E2A3A1" w:rsidR="00C04824" w:rsidRPr="002D6225" w:rsidRDefault="00C04824" w:rsidP="00C04824">
      <w:pPr>
        <w:pStyle w:val="Heading3"/>
      </w:pPr>
      <w:r w:rsidRPr="002D6225">
        <w:t xml:space="preserve">Table </w:t>
      </w:r>
      <w:r w:rsidR="00510CF9">
        <w:rPr>
          <w:noProof/>
        </w:rPr>
        <w:fldChar w:fldCharType="begin"/>
      </w:r>
      <w:r w:rsidR="00510CF9">
        <w:rPr>
          <w:noProof/>
        </w:rPr>
        <w:instrText xml:space="preserve"> SEQ Table \* ARABIC </w:instrText>
      </w:r>
      <w:r w:rsidR="00510CF9">
        <w:rPr>
          <w:noProof/>
        </w:rPr>
        <w:fldChar w:fldCharType="separate"/>
      </w:r>
      <w:r w:rsidR="00862CBB">
        <w:rPr>
          <w:noProof/>
        </w:rPr>
        <w:t>1</w:t>
      </w:r>
      <w:r w:rsidR="00510CF9">
        <w:rPr>
          <w:noProof/>
        </w:rPr>
        <w:fldChar w:fldCharType="end"/>
      </w:r>
      <w:r w:rsidRPr="002D6225">
        <w:t xml:space="preserve">: </w:t>
      </w:r>
      <w:r w:rsidR="00F45A58">
        <w:t>Cost impact for new buildings</w:t>
      </w:r>
    </w:p>
    <w:tbl>
      <w:tblPr>
        <w:tblStyle w:val="TableGrid3"/>
        <w:tblW w:w="0" w:type="auto"/>
        <w:tblLook w:val="04A0" w:firstRow="1" w:lastRow="0" w:firstColumn="1" w:lastColumn="0" w:noHBand="0" w:noVBand="1"/>
        <w:tblCaption w:val="Table 1: Cost impact for new buildings"/>
        <w:tblDescription w:val="Table sets out the cost estimates for new buildings."/>
      </w:tblPr>
      <w:tblGrid>
        <w:gridCol w:w="4248"/>
        <w:gridCol w:w="2268"/>
        <w:gridCol w:w="2500"/>
      </w:tblGrid>
      <w:tr w:rsidR="00C04824" w:rsidRPr="002D6225" w14:paraId="1C977FF6" w14:textId="77777777" w:rsidTr="00B25D7A">
        <w:trPr>
          <w:tblHeader/>
        </w:trPr>
        <w:tc>
          <w:tcPr>
            <w:tcW w:w="4248" w:type="dxa"/>
            <w:shd w:val="clear" w:color="auto" w:fill="D9D9D9" w:themeFill="background1" w:themeFillShade="D9"/>
          </w:tcPr>
          <w:p w14:paraId="35A35D06" w14:textId="77B37A9E" w:rsidR="00C04824" w:rsidRDefault="00BC332A" w:rsidP="00E12B5A">
            <w:pPr>
              <w:rPr>
                <w:b/>
              </w:rPr>
            </w:pPr>
            <w:r>
              <w:rPr>
                <w:b/>
              </w:rPr>
              <w:t>Option</w:t>
            </w:r>
          </w:p>
          <w:p w14:paraId="70FB8538" w14:textId="14D85DBC" w:rsidR="00C04824" w:rsidRPr="002D6225" w:rsidRDefault="00C04824" w:rsidP="00AA75AC">
            <w:pPr>
              <w:jc w:val="left"/>
              <w:rPr>
                <w:b/>
              </w:rPr>
            </w:pPr>
            <w:r>
              <w:rPr>
                <w:b/>
              </w:rPr>
              <w:t>(Scenario: Low, Medium or High impact)</w:t>
            </w:r>
          </w:p>
        </w:tc>
        <w:tc>
          <w:tcPr>
            <w:tcW w:w="2268" w:type="dxa"/>
            <w:shd w:val="clear" w:color="auto" w:fill="D9D9D9" w:themeFill="background1" w:themeFillShade="D9"/>
          </w:tcPr>
          <w:p w14:paraId="7C32B565" w14:textId="77777777" w:rsidR="00C04824" w:rsidRPr="002D6225" w:rsidRDefault="00C04824" w:rsidP="00E12B5A">
            <w:pPr>
              <w:rPr>
                <w:b/>
              </w:rPr>
            </w:pPr>
            <w:r w:rsidRPr="002D6225">
              <w:rPr>
                <w:b/>
              </w:rPr>
              <w:t>Class 1a house ($)</w:t>
            </w:r>
          </w:p>
        </w:tc>
        <w:tc>
          <w:tcPr>
            <w:tcW w:w="2500" w:type="dxa"/>
            <w:shd w:val="clear" w:color="auto" w:fill="D9D9D9" w:themeFill="background1" w:themeFillShade="D9"/>
          </w:tcPr>
          <w:p w14:paraId="4065CDDD" w14:textId="77777777" w:rsidR="00C04824" w:rsidRPr="002D6225" w:rsidRDefault="00C04824" w:rsidP="00E12B5A">
            <w:pPr>
              <w:rPr>
                <w:b/>
              </w:rPr>
            </w:pPr>
            <w:r w:rsidRPr="002D6225">
              <w:rPr>
                <w:b/>
              </w:rPr>
              <w:t>Class 2 apartment ($)</w:t>
            </w:r>
          </w:p>
        </w:tc>
      </w:tr>
      <w:tr w:rsidR="00C04824" w:rsidRPr="002D6225" w14:paraId="3AE4FCC1" w14:textId="77777777" w:rsidTr="00B25D7A">
        <w:tc>
          <w:tcPr>
            <w:tcW w:w="4248" w:type="dxa"/>
          </w:tcPr>
          <w:p w14:paraId="7B14D0B0" w14:textId="3B73FAA8" w:rsidR="00C04824" w:rsidRPr="002D6225" w:rsidRDefault="004A308E" w:rsidP="00E12B5A">
            <w:r>
              <w:t xml:space="preserve">Option 1 </w:t>
            </w:r>
            <w:r w:rsidR="00C04824">
              <w:t>(Low Impact)</w:t>
            </w:r>
          </w:p>
        </w:tc>
        <w:tc>
          <w:tcPr>
            <w:tcW w:w="2268" w:type="dxa"/>
          </w:tcPr>
          <w:p w14:paraId="6896E559" w14:textId="18E5FBD7" w:rsidR="00C04824" w:rsidRPr="002D6225" w:rsidRDefault="00AA75AC" w:rsidP="00E12B5A">
            <w:r>
              <w:t>75</w:t>
            </w:r>
          </w:p>
        </w:tc>
        <w:tc>
          <w:tcPr>
            <w:tcW w:w="2500" w:type="dxa"/>
          </w:tcPr>
          <w:p w14:paraId="7FE97972" w14:textId="08C4A808" w:rsidR="00C04824" w:rsidRPr="002D6225" w:rsidRDefault="009150CC" w:rsidP="00E12B5A">
            <w:r>
              <w:t>110</w:t>
            </w:r>
          </w:p>
        </w:tc>
      </w:tr>
      <w:tr w:rsidR="00C04824" w:rsidRPr="002D6225" w14:paraId="6002797E" w14:textId="77777777" w:rsidTr="00B25D7A">
        <w:tc>
          <w:tcPr>
            <w:tcW w:w="4248" w:type="dxa"/>
          </w:tcPr>
          <w:p w14:paraId="1E577116" w14:textId="6B63D13A" w:rsidR="00C04824" w:rsidRDefault="004A308E" w:rsidP="00E12B5A">
            <w:r>
              <w:t xml:space="preserve">Option 1 </w:t>
            </w:r>
            <w:r w:rsidR="00C065A6">
              <w:t>(Medium Impact)</w:t>
            </w:r>
          </w:p>
        </w:tc>
        <w:tc>
          <w:tcPr>
            <w:tcW w:w="2268" w:type="dxa"/>
          </w:tcPr>
          <w:p w14:paraId="1B9A2220" w14:textId="7B6329B0" w:rsidR="00C04824" w:rsidRDefault="00AA75AC" w:rsidP="00E12B5A">
            <w:r>
              <w:t>2,181</w:t>
            </w:r>
          </w:p>
        </w:tc>
        <w:tc>
          <w:tcPr>
            <w:tcW w:w="2500" w:type="dxa"/>
          </w:tcPr>
          <w:p w14:paraId="031BE3E5" w14:textId="3C868BAE" w:rsidR="00C04824" w:rsidRDefault="00622E7E" w:rsidP="00E12B5A">
            <w:r>
              <w:t>2,892</w:t>
            </w:r>
          </w:p>
        </w:tc>
      </w:tr>
      <w:tr w:rsidR="00C04824" w:rsidRPr="002D6225" w14:paraId="08A9BCF2" w14:textId="77777777" w:rsidTr="00B25D7A">
        <w:tc>
          <w:tcPr>
            <w:tcW w:w="4248" w:type="dxa"/>
          </w:tcPr>
          <w:p w14:paraId="5335A909" w14:textId="6F5E81DF" w:rsidR="00C065A6" w:rsidRDefault="004A308E" w:rsidP="00E12B5A">
            <w:r>
              <w:t xml:space="preserve">Option 1 </w:t>
            </w:r>
            <w:r w:rsidR="00C065A6">
              <w:t>(High Impact)</w:t>
            </w:r>
          </w:p>
        </w:tc>
        <w:tc>
          <w:tcPr>
            <w:tcW w:w="2268" w:type="dxa"/>
          </w:tcPr>
          <w:p w14:paraId="4CA2A046" w14:textId="2503AE43" w:rsidR="00C04824" w:rsidRDefault="00AA75AC" w:rsidP="006C5DE3">
            <w:r>
              <w:t>8,</w:t>
            </w:r>
            <w:r w:rsidR="006C5DE3">
              <w:t>027</w:t>
            </w:r>
          </w:p>
        </w:tc>
        <w:tc>
          <w:tcPr>
            <w:tcW w:w="2500" w:type="dxa"/>
          </w:tcPr>
          <w:p w14:paraId="15EB8DC0" w14:textId="5AC36E2A" w:rsidR="00C04824" w:rsidRDefault="00622E7E" w:rsidP="00E12B5A">
            <w:r>
              <w:t>7,411</w:t>
            </w:r>
          </w:p>
        </w:tc>
      </w:tr>
      <w:tr w:rsidR="00C065A6" w:rsidRPr="002D6225" w14:paraId="2659BD46" w14:textId="77777777" w:rsidTr="00B25D7A">
        <w:trPr>
          <w:trHeight w:val="397"/>
        </w:trPr>
        <w:tc>
          <w:tcPr>
            <w:tcW w:w="4248" w:type="dxa"/>
          </w:tcPr>
          <w:p w14:paraId="0BDF0333" w14:textId="17A9461E" w:rsidR="00C065A6" w:rsidRDefault="004A308E" w:rsidP="00C065A6">
            <w:r>
              <w:t xml:space="preserve">Option 1 </w:t>
            </w:r>
            <w:r w:rsidR="00C065A6">
              <w:t>(</w:t>
            </w:r>
            <w:r w:rsidR="00C065A6">
              <w:rPr>
                <w:b/>
              </w:rPr>
              <w:t>Weighted A</w:t>
            </w:r>
            <w:r w:rsidR="00C065A6" w:rsidRPr="00C065A6">
              <w:rPr>
                <w:b/>
              </w:rPr>
              <w:t>verage</w:t>
            </w:r>
            <w:r w:rsidR="00C065A6">
              <w:t>)</w:t>
            </w:r>
          </w:p>
        </w:tc>
        <w:tc>
          <w:tcPr>
            <w:tcW w:w="2268" w:type="dxa"/>
          </w:tcPr>
          <w:p w14:paraId="058A7620" w14:textId="52B3BDF0" w:rsidR="00C065A6" w:rsidRPr="00AA75AC" w:rsidRDefault="00022B80" w:rsidP="00C065A6">
            <w:pPr>
              <w:rPr>
                <w:b/>
              </w:rPr>
            </w:pPr>
            <w:r>
              <w:rPr>
                <w:b/>
              </w:rPr>
              <w:t>2,966</w:t>
            </w:r>
          </w:p>
        </w:tc>
        <w:tc>
          <w:tcPr>
            <w:tcW w:w="2500" w:type="dxa"/>
          </w:tcPr>
          <w:p w14:paraId="2BE25EC0" w14:textId="45FA5D70" w:rsidR="00C065A6" w:rsidRPr="00AA75AC" w:rsidRDefault="00862A7B" w:rsidP="00C065A6">
            <w:pPr>
              <w:rPr>
                <w:b/>
              </w:rPr>
            </w:pPr>
            <w:r>
              <w:rPr>
                <w:b/>
              </w:rPr>
              <w:t>2,950</w:t>
            </w:r>
          </w:p>
        </w:tc>
      </w:tr>
      <w:tr w:rsidR="00C065A6" w:rsidRPr="002D6225" w14:paraId="4FB71ED0" w14:textId="77777777" w:rsidTr="00B25D7A">
        <w:tc>
          <w:tcPr>
            <w:tcW w:w="4248" w:type="dxa"/>
          </w:tcPr>
          <w:p w14:paraId="697D3B30" w14:textId="53F3BB59" w:rsidR="00C065A6" w:rsidRPr="002D6225" w:rsidRDefault="004A308E" w:rsidP="00E12B5A">
            <w:r>
              <w:t xml:space="preserve">Option 2 </w:t>
            </w:r>
            <w:r w:rsidR="00C065A6">
              <w:t>(Low Impact)</w:t>
            </w:r>
          </w:p>
        </w:tc>
        <w:tc>
          <w:tcPr>
            <w:tcW w:w="2268" w:type="dxa"/>
          </w:tcPr>
          <w:p w14:paraId="0454872B" w14:textId="68A47882" w:rsidR="00C065A6" w:rsidRPr="002D6225" w:rsidRDefault="0095553F" w:rsidP="00E12B5A">
            <w:r>
              <w:t>75</w:t>
            </w:r>
          </w:p>
        </w:tc>
        <w:tc>
          <w:tcPr>
            <w:tcW w:w="2500" w:type="dxa"/>
          </w:tcPr>
          <w:p w14:paraId="39D23139" w14:textId="1789B638" w:rsidR="00C065A6" w:rsidRPr="002D6225" w:rsidRDefault="00586D79" w:rsidP="00E12B5A">
            <w:r>
              <w:t>110</w:t>
            </w:r>
          </w:p>
        </w:tc>
      </w:tr>
      <w:tr w:rsidR="00C065A6" w:rsidRPr="002D6225" w14:paraId="18D41F62" w14:textId="77777777" w:rsidTr="00B25D7A">
        <w:tc>
          <w:tcPr>
            <w:tcW w:w="4248" w:type="dxa"/>
          </w:tcPr>
          <w:p w14:paraId="11888810" w14:textId="486725FD" w:rsidR="00C065A6" w:rsidRPr="002D6225" w:rsidRDefault="004A308E" w:rsidP="00E12B5A">
            <w:r>
              <w:t xml:space="preserve">Option 2 </w:t>
            </w:r>
            <w:r w:rsidR="00C065A6">
              <w:t>(Medium Impact)</w:t>
            </w:r>
          </w:p>
        </w:tc>
        <w:tc>
          <w:tcPr>
            <w:tcW w:w="2268" w:type="dxa"/>
          </w:tcPr>
          <w:p w14:paraId="3DD87AD8" w14:textId="7C3E01FC" w:rsidR="00C065A6" w:rsidRPr="002D6225" w:rsidRDefault="0095553F" w:rsidP="00E12B5A">
            <w:r>
              <w:t>3,360</w:t>
            </w:r>
          </w:p>
        </w:tc>
        <w:tc>
          <w:tcPr>
            <w:tcW w:w="2500" w:type="dxa"/>
          </w:tcPr>
          <w:p w14:paraId="34ED90AD" w14:textId="6C70EE24" w:rsidR="00C065A6" w:rsidRPr="002D6225" w:rsidRDefault="00862A7B" w:rsidP="00E12B5A">
            <w:r>
              <w:t>4</w:t>
            </w:r>
            <w:r w:rsidR="00622E7E">
              <w:t>3,622</w:t>
            </w:r>
          </w:p>
        </w:tc>
      </w:tr>
      <w:tr w:rsidR="00C065A6" w:rsidRPr="002D6225" w14:paraId="7C16D747" w14:textId="77777777" w:rsidTr="00B25D7A">
        <w:tc>
          <w:tcPr>
            <w:tcW w:w="4248" w:type="dxa"/>
          </w:tcPr>
          <w:p w14:paraId="63D8C739" w14:textId="382940E3" w:rsidR="00C065A6" w:rsidRPr="002D6225" w:rsidRDefault="004A308E" w:rsidP="00E12B5A">
            <w:r>
              <w:t xml:space="preserve">Option 2 </w:t>
            </w:r>
            <w:r w:rsidR="00C065A6">
              <w:t>(High Impact)</w:t>
            </w:r>
          </w:p>
        </w:tc>
        <w:tc>
          <w:tcPr>
            <w:tcW w:w="2268" w:type="dxa"/>
          </w:tcPr>
          <w:p w14:paraId="0E5FD22B" w14:textId="22C13761" w:rsidR="00C065A6" w:rsidRPr="002D6225" w:rsidRDefault="0095553F" w:rsidP="00E12B5A">
            <w:r>
              <w:t>11,093</w:t>
            </w:r>
          </w:p>
        </w:tc>
        <w:tc>
          <w:tcPr>
            <w:tcW w:w="2500" w:type="dxa"/>
          </w:tcPr>
          <w:p w14:paraId="0D0E63C9" w14:textId="510C818A" w:rsidR="00C065A6" w:rsidRPr="002D6225" w:rsidRDefault="00862A7B" w:rsidP="00E12B5A">
            <w:r>
              <w:t>3</w:t>
            </w:r>
            <w:r w:rsidR="00622E7E">
              <w:t>4,491</w:t>
            </w:r>
          </w:p>
        </w:tc>
      </w:tr>
      <w:tr w:rsidR="00C04824" w:rsidRPr="002D6225" w14:paraId="0BBA48A7" w14:textId="77777777" w:rsidTr="00B25D7A">
        <w:trPr>
          <w:trHeight w:val="397"/>
        </w:trPr>
        <w:tc>
          <w:tcPr>
            <w:tcW w:w="4248" w:type="dxa"/>
          </w:tcPr>
          <w:p w14:paraId="7DC15924" w14:textId="3DEFB9E9" w:rsidR="00C04824" w:rsidRPr="00C065A6" w:rsidRDefault="004A308E" w:rsidP="00E12B5A">
            <w:r>
              <w:t xml:space="preserve">Option 2 </w:t>
            </w:r>
            <w:r w:rsidR="00C065A6">
              <w:t>(</w:t>
            </w:r>
            <w:r w:rsidR="00C065A6">
              <w:rPr>
                <w:b/>
              </w:rPr>
              <w:t>Weighted Average</w:t>
            </w:r>
            <w:r w:rsidR="00C065A6">
              <w:t>)</w:t>
            </w:r>
          </w:p>
        </w:tc>
        <w:tc>
          <w:tcPr>
            <w:tcW w:w="2268" w:type="dxa"/>
          </w:tcPr>
          <w:p w14:paraId="7D85C2E5" w14:textId="7E5C7AC3" w:rsidR="00C04824" w:rsidRPr="0095553F" w:rsidRDefault="00022B80" w:rsidP="00E12B5A">
            <w:pPr>
              <w:rPr>
                <w:b/>
              </w:rPr>
            </w:pPr>
            <w:r>
              <w:rPr>
                <w:b/>
              </w:rPr>
              <w:t>4,169</w:t>
            </w:r>
          </w:p>
        </w:tc>
        <w:tc>
          <w:tcPr>
            <w:tcW w:w="2500" w:type="dxa"/>
          </w:tcPr>
          <w:p w14:paraId="0F92BF1C" w14:textId="07617955" w:rsidR="00C04824" w:rsidRPr="0095553F" w:rsidRDefault="00862A7B" w:rsidP="00E12B5A">
            <w:pPr>
              <w:rPr>
                <w:b/>
              </w:rPr>
            </w:pPr>
            <w:r>
              <w:rPr>
                <w:b/>
              </w:rPr>
              <w:t>11,276</w:t>
            </w:r>
          </w:p>
        </w:tc>
      </w:tr>
      <w:tr w:rsidR="00604E04" w:rsidRPr="002D6225" w14:paraId="0988DD0B" w14:textId="77777777" w:rsidTr="00B25D7A">
        <w:tc>
          <w:tcPr>
            <w:tcW w:w="4248" w:type="dxa"/>
          </w:tcPr>
          <w:p w14:paraId="797793F3" w14:textId="30BC0433" w:rsidR="00604E04" w:rsidRPr="002D6225" w:rsidRDefault="004A308E" w:rsidP="00E12B5A">
            <w:r>
              <w:t xml:space="preserve">Option 3 </w:t>
            </w:r>
            <w:r w:rsidR="00604E04">
              <w:t>(Low Impact)</w:t>
            </w:r>
          </w:p>
        </w:tc>
        <w:tc>
          <w:tcPr>
            <w:tcW w:w="2268" w:type="dxa"/>
          </w:tcPr>
          <w:p w14:paraId="7B73B90D" w14:textId="078CE9D8" w:rsidR="00604E04" w:rsidRPr="002D6225" w:rsidRDefault="00AA75AC" w:rsidP="00E12B5A">
            <w:r>
              <w:t>75</w:t>
            </w:r>
          </w:p>
        </w:tc>
        <w:tc>
          <w:tcPr>
            <w:tcW w:w="2500" w:type="dxa"/>
          </w:tcPr>
          <w:p w14:paraId="218F1798" w14:textId="3A5A7245" w:rsidR="00604E04" w:rsidRPr="002D6225" w:rsidRDefault="00586D79" w:rsidP="00E12B5A">
            <w:r>
              <w:t>110</w:t>
            </w:r>
          </w:p>
        </w:tc>
      </w:tr>
      <w:tr w:rsidR="00604E04" w:rsidRPr="002D6225" w14:paraId="06A56896" w14:textId="77777777" w:rsidTr="00B25D7A">
        <w:tc>
          <w:tcPr>
            <w:tcW w:w="4248" w:type="dxa"/>
          </w:tcPr>
          <w:p w14:paraId="48ADB984" w14:textId="37F9E93A" w:rsidR="00604E04" w:rsidRPr="002D6225" w:rsidRDefault="004A308E" w:rsidP="00E12B5A">
            <w:r>
              <w:t xml:space="preserve">Option 3 </w:t>
            </w:r>
            <w:r w:rsidR="00604E04">
              <w:t>(Medium Impact)</w:t>
            </w:r>
          </w:p>
        </w:tc>
        <w:tc>
          <w:tcPr>
            <w:tcW w:w="2268" w:type="dxa"/>
          </w:tcPr>
          <w:p w14:paraId="4BB2C82E" w14:textId="70B3D83C" w:rsidR="00604E04" w:rsidRPr="002D6225" w:rsidRDefault="009150CC" w:rsidP="00E12B5A">
            <w:r>
              <w:t>10,</w:t>
            </w:r>
            <w:r w:rsidR="00AA75AC">
              <w:t>754</w:t>
            </w:r>
          </w:p>
        </w:tc>
        <w:tc>
          <w:tcPr>
            <w:tcW w:w="2500" w:type="dxa"/>
          </w:tcPr>
          <w:p w14:paraId="24B674A3" w14:textId="25BAB46A" w:rsidR="00604E04" w:rsidRPr="002D6225" w:rsidRDefault="006703BF" w:rsidP="00E12B5A">
            <w:r>
              <w:t>1</w:t>
            </w:r>
            <w:r w:rsidR="00622E7E">
              <w:t>6,863</w:t>
            </w:r>
          </w:p>
        </w:tc>
      </w:tr>
      <w:tr w:rsidR="00604E04" w:rsidRPr="002D6225" w14:paraId="5857826B" w14:textId="77777777" w:rsidTr="00B25D7A">
        <w:tc>
          <w:tcPr>
            <w:tcW w:w="4248" w:type="dxa"/>
          </w:tcPr>
          <w:p w14:paraId="6016B2AF" w14:textId="0975219A" w:rsidR="00604E04" w:rsidRPr="002D6225" w:rsidRDefault="004A308E" w:rsidP="00E12B5A">
            <w:r>
              <w:t xml:space="preserve">Option 3 </w:t>
            </w:r>
            <w:r w:rsidR="00604E04">
              <w:t>(High Impact)</w:t>
            </w:r>
          </w:p>
        </w:tc>
        <w:tc>
          <w:tcPr>
            <w:tcW w:w="2268" w:type="dxa"/>
          </w:tcPr>
          <w:p w14:paraId="61D1C61A" w14:textId="1CF1D607" w:rsidR="00604E04" w:rsidRPr="002D6225" w:rsidRDefault="00AA75AC" w:rsidP="00E12B5A">
            <w:r>
              <w:t>48,422</w:t>
            </w:r>
          </w:p>
        </w:tc>
        <w:tc>
          <w:tcPr>
            <w:tcW w:w="2500" w:type="dxa"/>
          </w:tcPr>
          <w:p w14:paraId="47A9CE2D" w14:textId="758B472C" w:rsidR="00604E04" w:rsidRPr="002D6225" w:rsidRDefault="006703BF" w:rsidP="00E12B5A">
            <w:r>
              <w:t>5</w:t>
            </w:r>
            <w:r w:rsidR="00622E7E">
              <w:t>5.255</w:t>
            </w:r>
          </w:p>
        </w:tc>
      </w:tr>
      <w:tr w:rsidR="00C04824" w:rsidRPr="002D6225" w14:paraId="1E646839" w14:textId="77777777" w:rsidTr="00B25D7A">
        <w:trPr>
          <w:trHeight w:val="397"/>
        </w:trPr>
        <w:tc>
          <w:tcPr>
            <w:tcW w:w="4248" w:type="dxa"/>
          </w:tcPr>
          <w:p w14:paraId="0481D9FB" w14:textId="4C842EB3" w:rsidR="00C04824" w:rsidRPr="00604E04" w:rsidRDefault="004A308E" w:rsidP="00E12B5A">
            <w:r>
              <w:t xml:space="preserve">Option 3 </w:t>
            </w:r>
            <w:r w:rsidR="00604E04">
              <w:t>(</w:t>
            </w:r>
            <w:r w:rsidR="00604E04">
              <w:rPr>
                <w:b/>
              </w:rPr>
              <w:t>Weighted Average</w:t>
            </w:r>
            <w:r w:rsidR="00604E04">
              <w:t>)</w:t>
            </w:r>
          </w:p>
        </w:tc>
        <w:tc>
          <w:tcPr>
            <w:tcW w:w="2268" w:type="dxa"/>
          </w:tcPr>
          <w:p w14:paraId="04942537" w14:textId="54FF08C4" w:rsidR="00C04824" w:rsidRPr="00AA75AC" w:rsidRDefault="00862A7B" w:rsidP="00E12B5A">
            <w:pPr>
              <w:rPr>
                <w:b/>
              </w:rPr>
            </w:pPr>
            <w:r>
              <w:rPr>
                <w:b/>
              </w:rPr>
              <w:t>2</w:t>
            </w:r>
            <w:r w:rsidR="00022B80">
              <w:rPr>
                <w:b/>
              </w:rPr>
              <w:t>0,710</w:t>
            </w:r>
          </w:p>
        </w:tc>
        <w:tc>
          <w:tcPr>
            <w:tcW w:w="2500" w:type="dxa"/>
          </w:tcPr>
          <w:p w14:paraId="426456D8" w14:textId="3928006E" w:rsidR="00C04824" w:rsidRPr="00AA75AC" w:rsidRDefault="006703BF" w:rsidP="00E12B5A">
            <w:pPr>
              <w:rPr>
                <w:b/>
              </w:rPr>
            </w:pPr>
            <w:r>
              <w:rPr>
                <w:b/>
              </w:rPr>
              <w:t>28,766</w:t>
            </w:r>
          </w:p>
        </w:tc>
      </w:tr>
    </w:tbl>
    <w:p w14:paraId="7F2CC8C2" w14:textId="77777777" w:rsidR="00912173" w:rsidRDefault="00912173" w:rsidP="00066852"/>
    <w:p w14:paraId="39AD849A" w14:textId="416A9593" w:rsidR="00912173" w:rsidRDefault="00912173" w:rsidP="007B5955">
      <w:pPr>
        <w:pStyle w:val="Heading3"/>
      </w:pPr>
      <w:r w:rsidRPr="00F73BBF">
        <w:t>Note</w:t>
      </w:r>
      <w:r>
        <w:t>s</w:t>
      </w:r>
      <w:r w:rsidR="007B5955">
        <w:t xml:space="preserve"> to Table 1</w:t>
      </w:r>
      <w:r w:rsidRPr="00F73BBF">
        <w:t>:</w:t>
      </w:r>
      <w:r>
        <w:t xml:space="preserve"> </w:t>
      </w:r>
    </w:p>
    <w:p w14:paraId="50C4D426" w14:textId="5CDDE379" w:rsidR="00912173" w:rsidRDefault="00912173" w:rsidP="00912173">
      <w:r>
        <w:t>1.</w:t>
      </w:r>
      <w:r>
        <w:tab/>
        <w:t>The</w:t>
      </w:r>
      <w:r w:rsidR="007B5955">
        <w:t>se</w:t>
      </w:r>
      <w:r>
        <w:t xml:space="preserve"> costs have been calculated based on compliance with the technical DtS </w:t>
      </w:r>
      <w:r>
        <w:tab/>
        <w:t>specifications given in the LHDG for each applicable Performance Statement.</w:t>
      </w:r>
    </w:p>
    <w:p w14:paraId="2A0B853B" w14:textId="26BD0553" w:rsidR="00912173" w:rsidRDefault="00912173" w:rsidP="00912173">
      <w:r>
        <w:t>2.</w:t>
      </w:r>
      <w:r>
        <w:tab/>
        <w:t xml:space="preserve">Preliminaries, margin and contingency costs which appear in the DCWC report have </w:t>
      </w:r>
      <w:r>
        <w:tab/>
        <w:t xml:space="preserve">been excluded from the values shown in the tables </w:t>
      </w:r>
      <w:r w:rsidR="00580427">
        <w:t>above</w:t>
      </w:r>
      <w:r>
        <w:t>.</w:t>
      </w:r>
    </w:p>
    <w:p w14:paraId="1702F098" w14:textId="335A1A92" w:rsidR="00912173" w:rsidRDefault="00912173" w:rsidP="00912173">
      <w:r>
        <w:t>3.</w:t>
      </w:r>
      <w:r>
        <w:tab/>
        <w:t xml:space="preserve">Cost estimates given </w:t>
      </w:r>
      <w:r w:rsidR="007B5955">
        <w:t>in the table</w:t>
      </w:r>
      <w:r>
        <w:t xml:space="preserve"> are for the entire dwelling (for Class 2 buildings, this </w:t>
      </w:r>
      <w:r>
        <w:tab/>
        <w:t>means each individual apartment).</w:t>
      </w:r>
    </w:p>
    <w:p w14:paraId="4681A264" w14:textId="612AB785" w:rsidR="00EA2A3F" w:rsidRDefault="00912173" w:rsidP="00EA2A3F">
      <w:r>
        <w:t>4.</w:t>
      </w:r>
      <w:r>
        <w:tab/>
        <w:t xml:space="preserve">Cost estimates may vary for </w:t>
      </w:r>
      <w:r w:rsidR="006703BF">
        <w:t xml:space="preserve">between </w:t>
      </w:r>
      <w:r>
        <w:t>locations.</w:t>
      </w:r>
    </w:p>
    <w:p w14:paraId="3464ED0B" w14:textId="18091C87" w:rsidR="00F32DF1" w:rsidRDefault="00F32DF1" w:rsidP="00EA2A3F">
      <w:r>
        <w:t>5.</w:t>
      </w:r>
      <w:r>
        <w:tab/>
        <w:t xml:space="preserve">For further information on how the cost estimates in Table 1 are calculated, see </w:t>
      </w:r>
      <w:r>
        <w:tab/>
        <w:t>Appendix A.</w:t>
      </w:r>
    </w:p>
    <w:p w14:paraId="4E448E74" w14:textId="77777777" w:rsidR="00912173" w:rsidRDefault="00912173">
      <w:pPr>
        <w:jc w:val="left"/>
        <w:rPr>
          <w:rFonts w:asciiTheme="majorHAnsi" w:eastAsiaTheme="majorEastAsia" w:hAnsiTheme="majorHAnsi" w:cstheme="majorBidi"/>
          <w:b/>
          <w:bCs/>
          <w:color w:val="002060"/>
          <w:sz w:val="40"/>
          <w:szCs w:val="28"/>
        </w:rPr>
      </w:pPr>
      <w:r>
        <w:br w:type="page"/>
      </w:r>
    </w:p>
    <w:p w14:paraId="519D4044" w14:textId="2C26241F" w:rsidR="00912173" w:rsidRDefault="00912173" w:rsidP="004F7706">
      <w:pPr>
        <w:pStyle w:val="Heading1"/>
      </w:pPr>
      <w:bookmarkStart w:id="32" w:name="_Toc525123768"/>
      <w:r>
        <w:t>Preliminary Costings—Retrofitting</w:t>
      </w:r>
      <w:bookmarkEnd w:id="32"/>
    </w:p>
    <w:p w14:paraId="4FC85FC6" w14:textId="4216F7BB" w:rsidR="00912173" w:rsidRDefault="0085186E">
      <w:r>
        <w:t>This</w:t>
      </w:r>
      <w:r w:rsidR="00FF175A">
        <w:t xml:space="preserve"> section has </w:t>
      </w:r>
      <w:r>
        <w:t xml:space="preserve">also </w:t>
      </w:r>
      <w:r w:rsidR="00FF175A">
        <w:t>been prepared on the basis of advice provided by the quantity surveyors, DCWC. Its purpose is to provide the potential costs of retrofitting an existing building to comply with Option 1, or the LHDG Silver or Gold level specifications</w:t>
      </w:r>
      <w:r w:rsidR="00591554">
        <w:t xml:space="preserve"> (Options 2 and 3)</w:t>
      </w:r>
      <w:r w:rsidR="00FF175A">
        <w:t xml:space="preserve">. These costs have been included so as to provide an indicative cost comparison between </w:t>
      </w:r>
      <w:r>
        <w:t xml:space="preserve">future </w:t>
      </w:r>
      <w:r w:rsidR="00FF175A">
        <w:t xml:space="preserve">retrofitting </w:t>
      </w:r>
      <w:r>
        <w:t xml:space="preserve">of a building constructed today </w:t>
      </w:r>
      <w:r w:rsidR="00FF175A">
        <w:t>and new builds</w:t>
      </w:r>
      <w:r>
        <w:t xml:space="preserve"> that include accessible housing features, as per the previous section</w:t>
      </w:r>
      <w:r w:rsidR="00FF175A">
        <w:t xml:space="preserve">. </w:t>
      </w:r>
    </w:p>
    <w:p w14:paraId="1A8ECC85" w14:textId="1AE8E9BF" w:rsidR="00A83201" w:rsidRDefault="00FF175A">
      <w:r>
        <w:t xml:space="preserve">The preliminary costings presented in this section are based on similar assumptions, inclusions and exclusions as those in the previous section. This </w:t>
      </w:r>
      <w:r w:rsidR="00591554">
        <w:t>makes</w:t>
      </w:r>
      <w:r>
        <w:t xml:space="preserve"> </w:t>
      </w:r>
      <w:r w:rsidR="00591554">
        <w:t xml:space="preserve">them comparable to the </w:t>
      </w:r>
      <w:r w:rsidR="0085186E">
        <w:t xml:space="preserve">above </w:t>
      </w:r>
      <w:r w:rsidR="00591554">
        <w:t>cost estimates</w:t>
      </w:r>
      <w:r w:rsidR="00A83201">
        <w:t xml:space="preserve"> for each building class and scenario</w:t>
      </w:r>
      <w:r>
        <w:t>.</w:t>
      </w:r>
    </w:p>
    <w:p w14:paraId="17D6F175" w14:textId="527F976D" w:rsidR="000D13FD" w:rsidRDefault="000D13FD">
      <w:r>
        <w:t xml:space="preserve">However, </w:t>
      </w:r>
      <w:r w:rsidR="00F758F8">
        <w:t xml:space="preserve">while </w:t>
      </w:r>
      <w:r>
        <w:t>these costs represent the difference between new-builds and retrofits for the purpose of compliance with the LHDG, it does not necessarily follow that the</w:t>
      </w:r>
      <w:r w:rsidR="00F758F8">
        <w:t>y</w:t>
      </w:r>
      <w:r>
        <w:t xml:space="preserve"> represent the costs </w:t>
      </w:r>
      <w:r w:rsidR="00F758F8">
        <w:t>currently</w:t>
      </w:r>
      <w:r>
        <w:t xml:space="preserve"> borne by people seeking to improve the accessibility of their existing home. </w:t>
      </w:r>
    </w:p>
    <w:p w14:paraId="2294A10A" w14:textId="659998FC" w:rsidR="00B23891" w:rsidRDefault="00591554">
      <w:r>
        <w:t>I</w:t>
      </w:r>
      <w:r w:rsidR="00376E13">
        <w:t xml:space="preserve">f housing accessibility was </w:t>
      </w:r>
      <w:r>
        <w:t>regulated through</w:t>
      </w:r>
      <w:r w:rsidR="00376E13">
        <w:t xml:space="preserve"> the NCC, any</w:t>
      </w:r>
      <w:r w:rsidR="000D13FD">
        <w:t xml:space="preserve"> person construct</w:t>
      </w:r>
      <w:r w:rsidR="00376E13">
        <w:t>ing</w:t>
      </w:r>
      <w:r w:rsidR="000D13FD">
        <w:t xml:space="preserve"> a new home </w:t>
      </w:r>
      <w:r w:rsidR="00376E13">
        <w:t>would need to include all of the features required by the NCC</w:t>
      </w:r>
      <w:r w:rsidR="005E5FFD">
        <w:t>.</w:t>
      </w:r>
      <w:r w:rsidR="00420A83">
        <w:t xml:space="preserve"> </w:t>
      </w:r>
      <w:r w:rsidR="005E5FFD">
        <w:t>W</w:t>
      </w:r>
      <w:r w:rsidR="00376E13">
        <w:t xml:space="preserve">hereas a person </w:t>
      </w:r>
      <w:r w:rsidR="00F758F8">
        <w:t xml:space="preserve">improving </w:t>
      </w:r>
      <w:r w:rsidR="00376E13">
        <w:t xml:space="preserve">their existing home, under the current situation, would </w:t>
      </w:r>
      <w:r w:rsidR="005E5FFD">
        <w:t xml:space="preserve">do so as the need arises and </w:t>
      </w:r>
      <w:r w:rsidR="00376E13">
        <w:t>only include the fea</w:t>
      </w:r>
      <w:r w:rsidR="007E6D20">
        <w:t>tures they consider necessary. T</w:t>
      </w:r>
      <w:r w:rsidR="00376E13">
        <w:t xml:space="preserve">his may be more or less than what is </w:t>
      </w:r>
      <w:r w:rsidR="004C5799">
        <w:t>specified</w:t>
      </w:r>
      <w:r w:rsidR="00376E13">
        <w:t xml:space="preserve"> by the LHDG.</w:t>
      </w:r>
    </w:p>
    <w:p w14:paraId="37686BBB" w14:textId="24D48921" w:rsidR="00420A83" w:rsidRPr="00420A83" w:rsidRDefault="00420A83" w:rsidP="00420A83">
      <w:r>
        <w:t>As for the previous section, i</w:t>
      </w:r>
      <w:r w:rsidRPr="00420A83">
        <w:t xml:space="preserve">t is important to stress that these are preliminary costs and do not form part of any regulatory impact assessment at this stage. </w:t>
      </w:r>
    </w:p>
    <w:p w14:paraId="71ADD2ED" w14:textId="2411380E" w:rsidR="00420A83" w:rsidRPr="002D6225" w:rsidRDefault="00420A83" w:rsidP="00420A83">
      <w:pPr>
        <w:pStyle w:val="Heading3"/>
      </w:pPr>
      <w:r w:rsidRPr="002D6225">
        <w:t xml:space="preserve">Table </w:t>
      </w:r>
      <w:r>
        <w:rPr>
          <w:noProof/>
        </w:rPr>
        <w:t>2</w:t>
      </w:r>
      <w:r w:rsidRPr="002D6225">
        <w:t xml:space="preserve">: </w:t>
      </w:r>
      <w:r>
        <w:t>Cost impact for retrofitting existing buildings</w:t>
      </w:r>
    </w:p>
    <w:tbl>
      <w:tblPr>
        <w:tblStyle w:val="TableGrid3"/>
        <w:tblW w:w="0" w:type="auto"/>
        <w:tblLook w:val="04A0" w:firstRow="1" w:lastRow="0" w:firstColumn="1" w:lastColumn="0" w:noHBand="0" w:noVBand="1"/>
        <w:tblCaption w:val="Table 2: Cost impact for retrofitting existing buildings"/>
        <w:tblDescription w:val="Table setting out cost estimates for retrofitting exiting buildings."/>
      </w:tblPr>
      <w:tblGrid>
        <w:gridCol w:w="4248"/>
        <w:gridCol w:w="2268"/>
        <w:gridCol w:w="2500"/>
      </w:tblGrid>
      <w:tr w:rsidR="00420A83" w:rsidRPr="002D6225" w14:paraId="28C0BFFA" w14:textId="77777777" w:rsidTr="00B25D7A">
        <w:trPr>
          <w:tblHeader/>
        </w:trPr>
        <w:tc>
          <w:tcPr>
            <w:tcW w:w="4248" w:type="dxa"/>
            <w:shd w:val="clear" w:color="auto" w:fill="D9D9D9" w:themeFill="background1" w:themeFillShade="D9"/>
          </w:tcPr>
          <w:p w14:paraId="3481B38D" w14:textId="77777777" w:rsidR="00420A83" w:rsidRDefault="00420A83" w:rsidP="007904EE">
            <w:pPr>
              <w:rPr>
                <w:b/>
              </w:rPr>
            </w:pPr>
            <w:r>
              <w:rPr>
                <w:b/>
              </w:rPr>
              <w:t>Option</w:t>
            </w:r>
          </w:p>
          <w:p w14:paraId="6ED1FFF6" w14:textId="77777777" w:rsidR="00420A83" w:rsidRPr="002D6225" w:rsidRDefault="00420A83" w:rsidP="007904EE">
            <w:pPr>
              <w:jc w:val="left"/>
              <w:rPr>
                <w:b/>
              </w:rPr>
            </w:pPr>
            <w:r>
              <w:rPr>
                <w:b/>
              </w:rPr>
              <w:t>(Scenario: Low, Medium or High impact)</w:t>
            </w:r>
          </w:p>
        </w:tc>
        <w:tc>
          <w:tcPr>
            <w:tcW w:w="2268" w:type="dxa"/>
            <w:shd w:val="clear" w:color="auto" w:fill="D9D9D9" w:themeFill="background1" w:themeFillShade="D9"/>
          </w:tcPr>
          <w:p w14:paraId="0955751C" w14:textId="77777777" w:rsidR="00420A83" w:rsidRPr="002D6225" w:rsidRDefault="00420A83" w:rsidP="007904EE">
            <w:pPr>
              <w:rPr>
                <w:b/>
              </w:rPr>
            </w:pPr>
            <w:r w:rsidRPr="002D6225">
              <w:rPr>
                <w:b/>
              </w:rPr>
              <w:t>Class 1a house ($)</w:t>
            </w:r>
          </w:p>
        </w:tc>
        <w:tc>
          <w:tcPr>
            <w:tcW w:w="2500" w:type="dxa"/>
            <w:shd w:val="clear" w:color="auto" w:fill="D9D9D9" w:themeFill="background1" w:themeFillShade="D9"/>
          </w:tcPr>
          <w:p w14:paraId="2E7A66A6" w14:textId="77777777" w:rsidR="00420A83" w:rsidRPr="002D6225" w:rsidRDefault="00420A83" w:rsidP="007904EE">
            <w:pPr>
              <w:rPr>
                <w:b/>
              </w:rPr>
            </w:pPr>
            <w:r w:rsidRPr="002D6225">
              <w:rPr>
                <w:b/>
              </w:rPr>
              <w:t>Class 2 apartment ($)</w:t>
            </w:r>
          </w:p>
        </w:tc>
      </w:tr>
      <w:tr w:rsidR="00420A83" w:rsidRPr="002D6225" w14:paraId="32E2E4AF" w14:textId="77777777" w:rsidTr="00B25D7A">
        <w:tc>
          <w:tcPr>
            <w:tcW w:w="4248" w:type="dxa"/>
          </w:tcPr>
          <w:p w14:paraId="0591B337" w14:textId="77777777" w:rsidR="00420A83" w:rsidRPr="002D6225" w:rsidRDefault="00420A83" w:rsidP="007904EE">
            <w:r>
              <w:t>Option 1 (Low Impact)</w:t>
            </w:r>
          </w:p>
        </w:tc>
        <w:tc>
          <w:tcPr>
            <w:tcW w:w="2268" w:type="dxa"/>
          </w:tcPr>
          <w:p w14:paraId="4194ECD8" w14:textId="4ABF3D44" w:rsidR="00420A83" w:rsidRPr="002D6225" w:rsidRDefault="00EF2880" w:rsidP="007904EE">
            <w:r>
              <w:t>75</w:t>
            </w:r>
          </w:p>
        </w:tc>
        <w:tc>
          <w:tcPr>
            <w:tcW w:w="2500" w:type="dxa"/>
          </w:tcPr>
          <w:p w14:paraId="094EE63A" w14:textId="72C6932B" w:rsidR="00420A83" w:rsidRPr="002D6225" w:rsidRDefault="00EF2880" w:rsidP="007904EE">
            <w:r>
              <w:t>110</w:t>
            </w:r>
          </w:p>
        </w:tc>
      </w:tr>
      <w:tr w:rsidR="00420A83" w:rsidRPr="002D6225" w14:paraId="687703BA" w14:textId="77777777" w:rsidTr="00B25D7A">
        <w:tc>
          <w:tcPr>
            <w:tcW w:w="4248" w:type="dxa"/>
          </w:tcPr>
          <w:p w14:paraId="456BEE75" w14:textId="77777777" w:rsidR="00420A83" w:rsidRDefault="00420A83" w:rsidP="007904EE">
            <w:r>
              <w:t>Option 1 (Medium Impact)</w:t>
            </w:r>
          </w:p>
        </w:tc>
        <w:tc>
          <w:tcPr>
            <w:tcW w:w="2268" w:type="dxa"/>
          </w:tcPr>
          <w:p w14:paraId="58A7D306" w14:textId="2355FC40" w:rsidR="00420A83" w:rsidRDefault="00EF2880" w:rsidP="007904EE">
            <w:r>
              <w:t>32,592</w:t>
            </w:r>
          </w:p>
        </w:tc>
        <w:tc>
          <w:tcPr>
            <w:tcW w:w="2500" w:type="dxa"/>
          </w:tcPr>
          <w:p w14:paraId="395762D3" w14:textId="25F06512" w:rsidR="00420A83" w:rsidRDefault="00EF2880" w:rsidP="007904EE">
            <w:r>
              <w:t>33,370</w:t>
            </w:r>
          </w:p>
        </w:tc>
      </w:tr>
      <w:tr w:rsidR="00420A83" w:rsidRPr="002D6225" w14:paraId="16F55DE0" w14:textId="77777777" w:rsidTr="00B25D7A">
        <w:tc>
          <w:tcPr>
            <w:tcW w:w="4248" w:type="dxa"/>
          </w:tcPr>
          <w:p w14:paraId="38D6F6EC" w14:textId="77777777" w:rsidR="00420A83" w:rsidRDefault="00420A83" w:rsidP="007904EE">
            <w:r>
              <w:t>Option 1 (High Impact)</w:t>
            </w:r>
          </w:p>
        </w:tc>
        <w:tc>
          <w:tcPr>
            <w:tcW w:w="2268" w:type="dxa"/>
          </w:tcPr>
          <w:p w14:paraId="29CB9B58" w14:textId="1613FE1F" w:rsidR="00420A83" w:rsidRDefault="00EF2880" w:rsidP="007904EE">
            <w:r>
              <w:t>186,312</w:t>
            </w:r>
          </w:p>
        </w:tc>
        <w:tc>
          <w:tcPr>
            <w:tcW w:w="2500" w:type="dxa"/>
          </w:tcPr>
          <w:p w14:paraId="0313501F" w14:textId="6E36E4A1" w:rsidR="00420A83" w:rsidRDefault="00EF2880" w:rsidP="007904EE">
            <w:r>
              <w:t>170,855</w:t>
            </w:r>
          </w:p>
        </w:tc>
      </w:tr>
      <w:tr w:rsidR="00420A83" w:rsidRPr="002D6225" w14:paraId="4749DC14" w14:textId="77777777" w:rsidTr="00B25D7A">
        <w:trPr>
          <w:trHeight w:val="397"/>
        </w:trPr>
        <w:tc>
          <w:tcPr>
            <w:tcW w:w="4248" w:type="dxa"/>
          </w:tcPr>
          <w:p w14:paraId="5E1F1F16" w14:textId="77777777" w:rsidR="00420A83" w:rsidRDefault="00420A83" w:rsidP="007904EE">
            <w:r>
              <w:t>Option 1 (</w:t>
            </w:r>
            <w:r>
              <w:rPr>
                <w:b/>
              </w:rPr>
              <w:t>Weighted A</w:t>
            </w:r>
            <w:r w:rsidRPr="00C065A6">
              <w:rPr>
                <w:b/>
              </w:rPr>
              <w:t>verage</w:t>
            </w:r>
            <w:r>
              <w:t>)</w:t>
            </w:r>
          </w:p>
        </w:tc>
        <w:tc>
          <w:tcPr>
            <w:tcW w:w="2268" w:type="dxa"/>
          </w:tcPr>
          <w:p w14:paraId="6AF86F1F" w14:textId="2F66BBBA" w:rsidR="00420A83" w:rsidRPr="00EF2880" w:rsidRDefault="00EF2880" w:rsidP="007904EE">
            <w:pPr>
              <w:rPr>
                <w:b/>
              </w:rPr>
            </w:pPr>
            <w:r>
              <w:rPr>
                <w:b/>
              </w:rPr>
              <w:t>76,828</w:t>
            </w:r>
          </w:p>
        </w:tc>
        <w:tc>
          <w:tcPr>
            <w:tcW w:w="2500" w:type="dxa"/>
          </w:tcPr>
          <w:p w14:paraId="57CBFA30" w14:textId="6F365734" w:rsidR="00420A83" w:rsidRPr="00AA75AC" w:rsidRDefault="00EF2880" w:rsidP="007904EE">
            <w:pPr>
              <w:rPr>
                <w:b/>
              </w:rPr>
            </w:pPr>
            <w:r>
              <w:rPr>
                <w:b/>
              </w:rPr>
              <w:t>91,716</w:t>
            </w:r>
          </w:p>
        </w:tc>
      </w:tr>
      <w:tr w:rsidR="00420A83" w:rsidRPr="002D6225" w14:paraId="15FEF0B5" w14:textId="77777777" w:rsidTr="00B25D7A">
        <w:tc>
          <w:tcPr>
            <w:tcW w:w="4248" w:type="dxa"/>
          </w:tcPr>
          <w:p w14:paraId="778CC088" w14:textId="77777777" w:rsidR="00420A83" w:rsidRPr="002D6225" w:rsidRDefault="00420A83" w:rsidP="007904EE">
            <w:r>
              <w:t>Option 2 (Low Impact)</w:t>
            </w:r>
          </w:p>
        </w:tc>
        <w:tc>
          <w:tcPr>
            <w:tcW w:w="2268" w:type="dxa"/>
          </w:tcPr>
          <w:p w14:paraId="6DC3165E" w14:textId="4427354D" w:rsidR="00420A83" w:rsidRPr="002D6225" w:rsidRDefault="00EF2880" w:rsidP="007904EE">
            <w:r>
              <w:t>75</w:t>
            </w:r>
          </w:p>
        </w:tc>
        <w:tc>
          <w:tcPr>
            <w:tcW w:w="2500" w:type="dxa"/>
          </w:tcPr>
          <w:p w14:paraId="703E02D1" w14:textId="0D4E0964" w:rsidR="00420A83" w:rsidRPr="002D6225" w:rsidRDefault="00EF2880" w:rsidP="007904EE">
            <w:r>
              <w:t>110</w:t>
            </w:r>
          </w:p>
        </w:tc>
      </w:tr>
      <w:tr w:rsidR="00420A83" w:rsidRPr="002D6225" w14:paraId="6966E3DD" w14:textId="77777777" w:rsidTr="00B25D7A">
        <w:tc>
          <w:tcPr>
            <w:tcW w:w="4248" w:type="dxa"/>
          </w:tcPr>
          <w:p w14:paraId="70650F11" w14:textId="77777777" w:rsidR="00420A83" w:rsidRPr="002D6225" w:rsidRDefault="00420A83" w:rsidP="007904EE">
            <w:r>
              <w:t>Option 2 (Medium Impact)</w:t>
            </w:r>
          </w:p>
        </w:tc>
        <w:tc>
          <w:tcPr>
            <w:tcW w:w="2268" w:type="dxa"/>
          </w:tcPr>
          <w:p w14:paraId="6FFFEBAB" w14:textId="5232F952" w:rsidR="00420A83" w:rsidRPr="002D6225" w:rsidRDefault="00EF2880" w:rsidP="007904EE">
            <w:r>
              <w:t>41,568</w:t>
            </w:r>
          </w:p>
        </w:tc>
        <w:tc>
          <w:tcPr>
            <w:tcW w:w="2500" w:type="dxa"/>
          </w:tcPr>
          <w:p w14:paraId="4800FFEC" w14:textId="625D7AE7" w:rsidR="00420A83" w:rsidRPr="002D6225" w:rsidRDefault="00EF2880" w:rsidP="007904EE">
            <w:r>
              <w:t>38,320</w:t>
            </w:r>
          </w:p>
        </w:tc>
      </w:tr>
      <w:tr w:rsidR="00420A83" w:rsidRPr="002D6225" w14:paraId="29063777" w14:textId="77777777" w:rsidTr="00B25D7A">
        <w:tc>
          <w:tcPr>
            <w:tcW w:w="4248" w:type="dxa"/>
          </w:tcPr>
          <w:p w14:paraId="2B407B0A" w14:textId="77777777" w:rsidR="00420A83" w:rsidRPr="002D6225" w:rsidRDefault="00420A83" w:rsidP="007904EE">
            <w:r>
              <w:t>Option 2 (High Impact)</w:t>
            </w:r>
          </w:p>
        </w:tc>
        <w:tc>
          <w:tcPr>
            <w:tcW w:w="2268" w:type="dxa"/>
          </w:tcPr>
          <w:p w14:paraId="63BCFBBB" w14:textId="3BFE6F64" w:rsidR="00420A83" w:rsidRPr="002D6225" w:rsidRDefault="00EF2880" w:rsidP="007904EE">
            <w:r>
              <w:t>214,296</w:t>
            </w:r>
          </w:p>
        </w:tc>
        <w:tc>
          <w:tcPr>
            <w:tcW w:w="2500" w:type="dxa"/>
          </w:tcPr>
          <w:p w14:paraId="6412319D" w14:textId="3E7FC89C" w:rsidR="00420A83" w:rsidRPr="002D6225" w:rsidRDefault="00EF2880" w:rsidP="007904EE">
            <w:r>
              <w:t>249,305</w:t>
            </w:r>
          </w:p>
        </w:tc>
      </w:tr>
      <w:tr w:rsidR="00420A83" w:rsidRPr="002D6225" w14:paraId="174371AE" w14:textId="77777777" w:rsidTr="00B25D7A">
        <w:trPr>
          <w:trHeight w:val="397"/>
        </w:trPr>
        <w:tc>
          <w:tcPr>
            <w:tcW w:w="4248" w:type="dxa"/>
          </w:tcPr>
          <w:p w14:paraId="6E8AAB7E" w14:textId="77777777" w:rsidR="00420A83" w:rsidRPr="00C065A6" w:rsidRDefault="00420A83" w:rsidP="007904EE">
            <w:r>
              <w:t>Option 2 (</w:t>
            </w:r>
            <w:r>
              <w:rPr>
                <w:b/>
              </w:rPr>
              <w:t>Weighted Average</w:t>
            </w:r>
            <w:r>
              <w:t>)</w:t>
            </w:r>
          </w:p>
        </w:tc>
        <w:tc>
          <w:tcPr>
            <w:tcW w:w="2268" w:type="dxa"/>
          </w:tcPr>
          <w:p w14:paraId="58E1E3C1" w14:textId="6881223B" w:rsidR="00420A83" w:rsidRPr="0095553F" w:rsidRDefault="00EF2880" w:rsidP="007904EE">
            <w:pPr>
              <w:rPr>
                <w:b/>
              </w:rPr>
            </w:pPr>
            <w:r>
              <w:rPr>
                <w:b/>
              </w:rPr>
              <w:t>87,246</w:t>
            </w:r>
          </w:p>
        </w:tc>
        <w:tc>
          <w:tcPr>
            <w:tcW w:w="2500" w:type="dxa"/>
          </w:tcPr>
          <w:p w14:paraId="6CEB3B00" w14:textId="68B336A1" w:rsidR="00420A83" w:rsidRPr="0095553F" w:rsidRDefault="00EF2880" w:rsidP="007904EE">
            <w:pPr>
              <w:rPr>
                <w:b/>
              </w:rPr>
            </w:pPr>
            <w:r>
              <w:rPr>
                <w:b/>
              </w:rPr>
              <w:t>115,905</w:t>
            </w:r>
          </w:p>
        </w:tc>
      </w:tr>
      <w:tr w:rsidR="00420A83" w:rsidRPr="002D6225" w14:paraId="7B5BC753" w14:textId="77777777" w:rsidTr="00B25D7A">
        <w:tc>
          <w:tcPr>
            <w:tcW w:w="4248" w:type="dxa"/>
          </w:tcPr>
          <w:p w14:paraId="116CCB4C" w14:textId="77777777" w:rsidR="00420A83" w:rsidRPr="002D6225" w:rsidRDefault="00420A83" w:rsidP="007904EE">
            <w:r>
              <w:t>Option 3 (Low Impact)</w:t>
            </w:r>
          </w:p>
        </w:tc>
        <w:tc>
          <w:tcPr>
            <w:tcW w:w="2268" w:type="dxa"/>
          </w:tcPr>
          <w:p w14:paraId="15BFE719" w14:textId="283079FB" w:rsidR="00420A83" w:rsidRPr="002D6225" w:rsidRDefault="00EF2880" w:rsidP="007904EE">
            <w:r>
              <w:t>75</w:t>
            </w:r>
          </w:p>
        </w:tc>
        <w:tc>
          <w:tcPr>
            <w:tcW w:w="2500" w:type="dxa"/>
          </w:tcPr>
          <w:p w14:paraId="7E115E4E" w14:textId="1D68885C" w:rsidR="00420A83" w:rsidRPr="002D6225" w:rsidRDefault="00EF2880" w:rsidP="007904EE">
            <w:r>
              <w:t>110</w:t>
            </w:r>
          </w:p>
        </w:tc>
      </w:tr>
      <w:tr w:rsidR="00420A83" w:rsidRPr="002D6225" w14:paraId="7C9B9D58" w14:textId="77777777" w:rsidTr="00B25D7A">
        <w:tc>
          <w:tcPr>
            <w:tcW w:w="4248" w:type="dxa"/>
          </w:tcPr>
          <w:p w14:paraId="0AFAB810" w14:textId="77777777" w:rsidR="00420A83" w:rsidRPr="002D6225" w:rsidRDefault="00420A83" w:rsidP="007904EE">
            <w:r>
              <w:t>Option 3 (Medium Impact)</w:t>
            </w:r>
          </w:p>
        </w:tc>
        <w:tc>
          <w:tcPr>
            <w:tcW w:w="2268" w:type="dxa"/>
          </w:tcPr>
          <w:p w14:paraId="4F73E97F" w14:textId="45DBCE07" w:rsidR="00420A83" w:rsidRPr="002D6225" w:rsidRDefault="00DE63FE" w:rsidP="007904EE">
            <w:r>
              <w:t>65</w:t>
            </w:r>
            <w:r w:rsidR="00EF2880">
              <w:t>,443</w:t>
            </w:r>
          </w:p>
        </w:tc>
        <w:tc>
          <w:tcPr>
            <w:tcW w:w="2500" w:type="dxa"/>
          </w:tcPr>
          <w:p w14:paraId="2CD18302" w14:textId="707D9E03" w:rsidR="00420A83" w:rsidRPr="002D6225" w:rsidRDefault="00DE63FE" w:rsidP="007904EE">
            <w:r>
              <w:t>52</w:t>
            </w:r>
            <w:r w:rsidR="00EF2880">
              <w:t>,430</w:t>
            </w:r>
          </w:p>
        </w:tc>
      </w:tr>
      <w:tr w:rsidR="00420A83" w:rsidRPr="002D6225" w14:paraId="75388847" w14:textId="77777777" w:rsidTr="00B25D7A">
        <w:tc>
          <w:tcPr>
            <w:tcW w:w="4248" w:type="dxa"/>
          </w:tcPr>
          <w:p w14:paraId="78F02CF4" w14:textId="77777777" w:rsidR="00420A83" w:rsidRPr="002D6225" w:rsidRDefault="00420A83" w:rsidP="007904EE">
            <w:r>
              <w:t>Option 3 (High Impact)</w:t>
            </w:r>
          </w:p>
        </w:tc>
        <w:tc>
          <w:tcPr>
            <w:tcW w:w="2268" w:type="dxa"/>
          </w:tcPr>
          <w:p w14:paraId="30F993BD" w14:textId="6D9C69E8" w:rsidR="00420A83" w:rsidRPr="002D6225" w:rsidRDefault="00DE63FE" w:rsidP="007904EE">
            <w:r>
              <w:t>501</w:t>
            </w:r>
            <w:r w:rsidR="00EF2880">
              <w:t>,497</w:t>
            </w:r>
          </w:p>
        </w:tc>
        <w:tc>
          <w:tcPr>
            <w:tcW w:w="2500" w:type="dxa"/>
          </w:tcPr>
          <w:p w14:paraId="71A58051" w14:textId="3541AE77" w:rsidR="00420A83" w:rsidRPr="002D6225" w:rsidRDefault="00DE63FE" w:rsidP="007904EE">
            <w:r>
              <w:t>473</w:t>
            </w:r>
            <w:r w:rsidR="00EF2880">
              <w:t>,070</w:t>
            </w:r>
          </w:p>
        </w:tc>
      </w:tr>
      <w:tr w:rsidR="00420A83" w:rsidRPr="002D6225" w14:paraId="7B93A4C0" w14:textId="77777777" w:rsidTr="00B25D7A">
        <w:trPr>
          <w:trHeight w:val="397"/>
        </w:trPr>
        <w:tc>
          <w:tcPr>
            <w:tcW w:w="4248" w:type="dxa"/>
          </w:tcPr>
          <w:p w14:paraId="14D0F884" w14:textId="77777777" w:rsidR="00420A83" w:rsidRPr="00604E04" w:rsidRDefault="00420A83" w:rsidP="007904EE">
            <w:r>
              <w:t>Option 3 (</w:t>
            </w:r>
            <w:r>
              <w:rPr>
                <w:b/>
              </w:rPr>
              <w:t>Weighted Average</w:t>
            </w:r>
            <w:r>
              <w:t>)</w:t>
            </w:r>
          </w:p>
        </w:tc>
        <w:tc>
          <w:tcPr>
            <w:tcW w:w="2268" w:type="dxa"/>
          </w:tcPr>
          <w:p w14:paraId="2FDAA902" w14:textId="5C897B8D" w:rsidR="00420A83" w:rsidRPr="00AA75AC" w:rsidRDefault="00DE63FE" w:rsidP="007904EE">
            <w:pPr>
              <w:rPr>
                <w:b/>
              </w:rPr>
            </w:pPr>
            <w:r>
              <w:rPr>
                <w:b/>
              </w:rPr>
              <w:t>214,62</w:t>
            </w:r>
            <w:r w:rsidR="00EF2880">
              <w:rPr>
                <w:b/>
              </w:rPr>
              <w:t>9</w:t>
            </w:r>
          </w:p>
        </w:tc>
        <w:tc>
          <w:tcPr>
            <w:tcW w:w="2500" w:type="dxa"/>
          </w:tcPr>
          <w:p w14:paraId="72928F62" w14:textId="0F17BFF9" w:rsidR="00420A83" w:rsidRPr="00AA75AC" w:rsidRDefault="00DE63FE" w:rsidP="007904EE">
            <w:pPr>
              <w:rPr>
                <w:b/>
              </w:rPr>
            </w:pPr>
            <w:r>
              <w:rPr>
                <w:b/>
              </w:rPr>
              <w:t>205,917</w:t>
            </w:r>
          </w:p>
        </w:tc>
      </w:tr>
    </w:tbl>
    <w:p w14:paraId="579100C7" w14:textId="1B6A206D" w:rsidR="00420A83" w:rsidRDefault="00420A83" w:rsidP="00420A83">
      <w:r>
        <w:t>The Note</w:t>
      </w:r>
      <w:r w:rsidR="00066852">
        <w:t>s to Table 2 are the same as th</w:t>
      </w:r>
      <w:r>
        <w:t>ose for Table 1</w:t>
      </w:r>
      <w:r w:rsidR="00066852">
        <w:t>.</w:t>
      </w:r>
    </w:p>
    <w:p w14:paraId="524A78A7" w14:textId="77777777" w:rsidR="009229BA" w:rsidRDefault="009229BA">
      <w:pPr>
        <w:jc w:val="left"/>
        <w:rPr>
          <w:rFonts w:asciiTheme="majorHAnsi" w:eastAsiaTheme="majorEastAsia" w:hAnsiTheme="majorHAnsi" w:cstheme="majorBidi"/>
          <w:b/>
          <w:bCs/>
          <w:color w:val="002060"/>
          <w:sz w:val="40"/>
          <w:szCs w:val="28"/>
        </w:rPr>
      </w:pPr>
      <w:r>
        <w:br w:type="page"/>
      </w:r>
    </w:p>
    <w:p w14:paraId="6C16C067" w14:textId="41CF8C69" w:rsidR="00066852" w:rsidRPr="00066852" w:rsidRDefault="00ED3C8E" w:rsidP="00066852">
      <w:pPr>
        <w:pStyle w:val="Heading1"/>
      </w:pPr>
      <w:bookmarkStart w:id="33" w:name="_Toc525123769"/>
      <w:r w:rsidRPr="00066852">
        <w:t>Consultation</w:t>
      </w:r>
      <w:bookmarkEnd w:id="33"/>
    </w:p>
    <w:p w14:paraId="30E0625E" w14:textId="231E633D" w:rsidR="00740BE8" w:rsidRDefault="00740BE8" w:rsidP="00066852">
      <w:r>
        <w:t xml:space="preserve">The primary purpose of this Options Paper is consultation. Its role is to provide a basis for discussion of issues, objectives and policy options, and to elicit stakeholder responses that contribute toward the development of </w:t>
      </w:r>
      <w:r w:rsidR="00DA3D90">
        <w:t>possible solutions that are feasible and have some level of stakeholder support.</w:t>
      </w:r>
    </w:p>
    <w:p w14:paraId="093726C5" w14:textId="5887BB15" w:rsidR="00196BB3" w:rsidRDefault="00196BB3" w:rsidP="00196BB3">
      <w:r>
        <w:t>Meaningful consultation promotes trust between industry, the community and government. Transparency allows stakeholders to see and judge the quality of government actions and regulatory decisions. It also provides an opportunity to participate in developing policy solutions and encourages broad ownership of solutions.</w:t>
      </w:r>
    </w:p>
    <w:p w14:paraId="0BBC0362" w14:textId="23D6FEE1" w:rsidR="00DA3D90" w:rsidRDefault="00196BB3" w:rsidP="00196BB3">
      <w:r>
        <w:t>Early consultation is instrumental to the technical amendment processes of the NCC and on broader regulatory reform matters. Consultation assists in the ABCB's role as the regulatory ‘gatekeeper', which includes considering alternatives to regulation, such as education and awareness raising activities.</w:t>
      </w:r>
    </w:p>
    <w:p w14:paraId="6F12B274" w14:textId="58F168F3" w:rsidR="00A6683E" w:rsidRDefault="00774D7E" w:rsidP="00066852">
      <w:r>
        <w:t>This section outlines the consultation process that will occur in relation to this Options Paper</w:t>
      </w:r>
      <w:r w:rsidR="00196BB3">
        <w:t>, and the ways in which you can participate and have your say.</w:t>
      </w:r>
    </w:p>
    <w:p w14:paraId="7B09E00A" w14:textId="06E67771" w:rsidR="00D840FB" w:rsidRDefault="007F2FD3" w:rsidP="00D840FB">
      <w:pPr>
        <w:pStyle w:val="Heading2"/>
      </w:pPr>
      <w:r>
        <w:t xml:space="preserve">National </w:t>
      </w:r>
      <w:r w:rsidR="00D840FB">
        <w:t>Consultation Forum</w:t>
      </w:r>
      <w:r>
        <w:t>s</w:t>
      </w:r>
    </w:p>
    <w:p w14:paraId="7099CB7B" w14:textId="0A337FFD" w:rsidR="00196BB3" w:rsidRDefault="00196BB3" w:rsidP="00196BB3">
      <w:pPr>
        <w:rPr>
          <w:b/>
          <w:bCs/>
        </w:rPr>
      </w:pPr>
      <w:r w:rsidRPr="00196BB3">
        <w:t xml:space="preserve">The ABCB will be holding a consultation forum in each capital city. These forums, to be held in </w:t>
      </w:r>
      <w:r w:rsidR="003A5689">
        <w:t xml:space="preserve">mid to </w:t>
      </w:r>
      <w:r w:rsidRPr="00196BB3">
        <w:t xml:space="preserve">late October, will provide an opportunity for stakeholders to have their say on accessible housing in-person, and have questions answered directly by representatives of the ABCB. </w:t>
      </w:r>
    </w:p>
    <w:p w14:paraId="1543ABD2" w14:textId="16BFAA4F" w:rsidR="00624373" w:rsidRPr="00CA6628" w:rsidRDefault="00196BB3" w:rsidP="00CA6628">
      <w:r w:rsidRPr="00196BB3">
        <w:t xml:space="preserve">These forums will be free to attend, although booking is essential. </w:t>
      </w:r>
    </w:p>
    <w:p w14:paraId="44A37160" w14:textId="5172E07D" w:rsidR="00624373" w:rsidRPr="00CA6628" w:rsidRDefault="00580427" w:rsidP="00CA6628">
      <w:pPr>
        <w:spacing w:after="160" w:line="259" w:lineRule="auto"/>
        <w:rPr>
          <w:rFonts w:eastAsia="Calibri" w:cs="Times New Roman"/>
        </w:rPr>
      </w:pPr>
      <w:r>
        <w:rPr>
          <w:rFonts w:eastAsia="Calibri" w:cs="Times New Roman"/>
        </w:rPr>
        <w:t>D</w:t>
      </w:r>
      <w:r w:rsidR="00624373">
        <w:rPr>
          <w:rFonts w:eastAsia="Calibri" w:cs="Times New Roman"/>
        </w:rPr>
        <w:t>ate, venue</w:t>
      </w:r>
      <w:r w:rsidR="00624373" w:rsidRPr="00624373">
        <w:rPr>
          <w:rFonts w:eastAsia="Calibri" w:cs="Times New Roman"/>
        </w:rPr>
        <w:t xml:space="preserve"> and booking details </w:t>
      </w:r>
      <w:r w:rsidR="00402BC1">
        <w:rPr>
          <w:rFonts w:eastAsia="Calibri" w:cs="Times New Roman"/>
        </w:rPr>
        <w:t>are</w:t>
      </w:r>
      <w:r>
        <w:rPr>
          <w:rFonts w:eastAsia="Calibri" w:cs="Times New Roman"/>
        </w:rPr>
        <w:t xml:space="preserve"> on the ABCB website</w:t>
      </w:r>
      <w:r w:rsidR="00624373" w:rsidRPr="00624373">
        <w:rPr>
          <w:rFonts w:eastAsia="Calibri" w:cs="Times New Roman"/>
        </w:rPr>
        <w:t xml:space="preserve">. </w:t>
      </w:r>
      <w:r>
        <w:rPr>
          <w:rFonts w:eastAsia="Calibri" w:cs="Times New Roman"/>
        </w:rPr>
        <w:t>If you have any questions</w:t>
      </w:r>
      <w:r w:rsidR="00862788">
        <w:rPr>
          <w:rFonts w:eastAsia="Calibri" w:cs="Times New Roman"/>
        </w:rPr>
        <w:t xml:space="preserve"> about the forums</w:t>
      </w:r>
      <w:r>
        <w:rPr>
          <w:rFonts w:eastAsia="Calibri" w:cs="Times New Roman"/>
        </w:rPr>
        <w:t>, please email:</w:t>
      </w:r>
      <w:r w:rsidR="00624373" w:rsidRPr="00624373">
        <w:rPr>
          <w:rFonts w:eastAsia="Calibri" w:cs="Times New Roman"/>
        </w:rPr>
        <w:t xml:space="preserve"> </w:t>
      </w:r>
      <w:hyperlink r:id="rId16" w:history="1">
        <w:r w:rsidR="00624373" w:rsidRPr="00624373">
          <w:rPr>
            <w:rFonts w:eastAsia="Calibri" w:cs="Times New Roman"/>
            <w:color w:val="0563C1"/>
            <w:u w:val="single"/>
          </w:rPr>
          <w:t>nccawareness@abcb.gov.au</w:t>
        </w:r>
      </w:hyperlink>
      <w:r w:rsidR="00862788">
        <w:rPr>
          <w:rFonts w:eastAsia="Calibri" w:cs="Times New Roman"/>
        </w:rPr>
        <w:t xml:space="preserve"> or call 1300 134 631.</w:t>
      </w:r>
    </w:p>
    <w:p w14:paraId="487224DB" w14:textId="6C1E3E21" w:rsidR="00D840FB" w:rsidRDefault="00D840FB" w:rsidP="00D840FB">
      <w:pPr>
        <w:pStyle w:val="Heading2"/>
      </w:pPr>
      <w:r>
        <w:t xml:space="preserve">Written </w:t>
      </w:r>
      <w:r w:rsidR="00343312">
        <w:t>R</w:t>
      </w:r>
      <w:r>
        <w:t>esponses</w:t>
      </w:r>
    </w:p>
    <w:p w14:paraId="57982A20" w14:textId="4989EAF2" w:rsidR="009A638F" w:rsidRDefault="009A638F" w:rsidP="008C7CA7">
      <w:r>
        <w:t xml:space="preserve">The ABCB will be accepting written responses to the Options Paper. Consultation questions have been provided </w:t>
      </w:r>
      <w:r w:rsidR="007E6D20">
        <w:t>at Appendix D. T</w:t>
      </w:r>
      <w:r>
        <w:t xml:space="preserve">hese questions are optional and do not need to </w:t>
      </w:r>
      <w:r w:rsidR="007E6D20">
        <w:t xml:space="preserve">be </w:t>
      </w:r>
      <w:r>
        <w:t>answer</w:t>
      </w:r>
      <w:r w:rsidR="007E6D20">
        <w:t>ed</w:t>
      </w:r>
      <w:r>
        <w:t xml:space="preserve"> for your response to be accepted. </w:t>
      </w:r>
    </w:p>
    <w:p w14:paraId="32B6F811" w14:textId="5881CEC3" w:rsidR="009A638F" w:rsidRDefault="009A638F">
      <w:r>
        <w:t>Your response may address the</w:t>
      </w:r>
      <w:r w:rsidR="00346506">
        <w:t xml:space="preserve"> consultation</w:t>
      </w:r>
      <w:r>
        <w:t xml:space="preserve"> questions and/or any other aspect of the Options Paper about which you feel you would like to comment.</w:t>
      </w:r>
    </w:p>
    <w:p w14:paraId="7AA67D39" w14:textId="601EE167" w:rsidR="00346506" w:rsidRDefault="00346506" w:rsidP="00CA6628">
      <w:pPr>
        <w:pStyle w:val="Heading3"/>
      </w:pPr>
      <w:r>
        <w:t>Response Guidelines</w:t>
      </w:r>
    </w:p>
    <w:p w14:paraId="7940403C" w14:textId="329F0F0B" w:rsidR="00346506" w:rsidRDefault="00346506">
      <w:r>
        <w:t xml:space="preserve">The response guidelines listed below </w:t>
      </w:r>
      <w:r w:rsidR="00CB05BD">
        <w:t xml:space="preserve">are intended </w:t>
      </w:r>
      <w:r>
        <w:t>to ensure that responses are able to be accepted and given due consideration:</w:t>
      </w:r>
    </w:p>
    <w:p w14:paraId="7E600FA5" w14:textId="0B36045B" w:rsidR="00B705B1" w:rsidRDefault="00346506" w:rsidP="00CA6628">
      <w:pPr>
        <w:pStyle w:val="ListParagraph"/>
        <w:numPr>
          <w:ilvl w:val="0"/>
          <w:numId w:val="41"/>
        </w:numPr>
        <w:spacing w:after="120"/>
        <w:ind w:left="357"/>
        <w:contextualSpacing w:val="0"/>
      </w:pPr>
      <w:r>
        <w:t>If you would like your response (or part thereof) to be treated as confidential, please mark it accordingly.</w:t>
      </w:r>
      <w:r w:rsidR="00B705B1">
        <w:t xml:space="preserve"> While responses will not be published, they may be cited or quoted in later documents such as an outcomes report or RIS</w:t>
      </w:r>
      <w:r w:rsidR="00C53072">
        <w:t xml:space="preserve"> if not marked as confidential</w:t>
      </w:r>
      <w:r w:rsidR="00B705B1">
        <w:t>.</w:t>
      </w:r>
    </w:p>
    <w:p w14:paraId="662422B5" w14:textId="6534D4AE" w:rsidR="00346506" w:rsidRDefault="008373A9" w:rsidP="00CA6628">
      <w:pPr>
        <w:pStyle w:val="ListParagraph"/>
        <w:numPr>
          <w:ilvl w:val="0"/>
          <w:numId w:val="41"/>
        </w:numPr>
        <w:spacing w:after="120"/>
        <w:ind w:left="357"/>
        <w:contextualSpacing w:val="0"/>
      </w:pPr>
      <w:r>
        <w:t>Multiple</w:t>
      </w:r>
      <w:r w:rsidR="00C53072">
        <w:t>,</w:t>
      </w:r>
      <w:r w:rsidR="0082696B">
        <w:t xml:space="preserve"> identical responses </w:t>
      </w:r>
      <w:r w:rsidR="00C53072">
        <w:t xml:space="preserve">(i.e. campaign letters) </w:t>
      </w:r>
      <w:r w:rsidR="0082696B">
        <w:t xml:space="preserve">will be considered as one </w:t>
      </w:r>
      <w:r>
        <w:t xml:space="preserve">single </w:t>
      </w:r>
      <w:r w:rsidR="0082696B">
        <w:t>response only</w:t>
      </w:r>
      <w:r w:rsidR="00291F4F">
        <w:t>.</w:t>
      </w:r>
      <w:r w:rsidR="00DE75FC">
        <w:t xml:space="preserve"> </w:t>
      </w:r>
    </w:p>
    <w:p w14:paraId="40F4225C" w14:textId="5102BCA3" w:rsidR="0082696B" w:rsidRDefault="00343312" w:rsidP="0082696B">
      <w:pPr>
        <w:pStyle w:val="ListParagraph"/>
        <w:numPr>
          <w:ilvl w:val="0"/>
          <w:numId w:val="41"/>
        </w:numPr>
      </w:pPr>
      <w:r w:rsidRPr="00343312">
        <w:t>For security reasons, responses containing links to documents held in cloud-based document sharing services (Google Drive, Dropbox etc.) cannot be accepted.</w:t>
      </w:r>
    </w:p>
    <w:p w14:paraId="657B9FAA" w14:textId="7E8EA245" w:rsidR="00210BFF" w:rsidRDefault="00346506" w:rsidP="00402BC1">
      <w:pPr>
        <w:pStyle w:val="Heading3"/>
      </w:pPr>
      <w:r>
        <w:t xml:space="preserve">How to submit your response </w:t>
      </w:r>
    </w:p>
    <w:p w14:paraId="52A930E5" w14:textId="7E705149" w:rsidR="00210BFF" w:rsidRDefault="00210BFF" w:rsidP="00210BFF">
      <w:r>
        <w:t xml:space="preserve">Responses may be emailed to: </w:t>
      </w:r>
      <w:hyperlink r:id="rId17" w:history="1">
        <w:r w:rsidR="007F2FD3" w:rsidRPr="007F2FD3">
          <w:rPr>
            <w:rStyle w:val="Hyperlink"/>
          </w:rPr>
          <w:t>nccawareness@abcb.gov.au</w:t>
        </w:r>
      </w:hyperlink>
      <w:r>
        <w:t xml:space="preserve"> (with the subject line 'Accessible Housing'). Please send response as an attachment to the email, either as a Word or PDF file. </w:t>
      </w:r>
    </w:p>
    <w:p w14:paraId="1DF86FA1" w14:textId="77777777" w:rsidR="00210BFF" w:rsidRDefault="00210BFF" w:rsidP="00210BFF">
      <w:r>
        <w:t>Alternatively, responses may be posted to:</w:t>
      </w:r>
    </w:p>
    <w:p w14:paraId="5EDF2BC2" w14:textId="77777777" w:rsidR="00210BFF" w:rsidRDefault="00210BFF" w:rsidP="00210BFF">
      <w:pPr>
        <w:pStyle w:val="NoSpacing"/>
      </w:pPr>
      <w:r>
        <w:tab/>
        <w:t xml:space="preserve">Accessible Housing </w:t>
      </w:r>
    </w:p>
    <w:p w14:paraId="329E9B20" w14:textId="77777777" w:rsidR="00210BFF" w:rsidRDefault="00210BFF" w:rsidP="00210BFF">
      <w:pPr>
        <w:pStyle w:val="NoSpacing"/>
      </w:pPr>
      <w:r>
        <w:tab/>
        <w:t>Australian Building Codes Board</w:t>
      </w:r>
    </w:p>
    <w:p w14:paraId="09B1F8D0" w14:textId="4A82EB03" w:rsidR="00210BFF" w:rsidRDefault="00210BFF" w:rsidP="00210BFF">
      <w:pPr>
        <w:pStyle w:val="NoSpacing"/>
      </w:pPr>
      <w:r>
        <w:tab/>
        <w:t>GPO Box 2013</w:t>
      </w:r>
    </w:p>
    <w:p w14:paraId="0BA30368" w14:textId="7D19C4B6" w:rsidR="00210BFF" w:rsidRDefault="00210BFF" w:rsidP="00210BFF">
      <w:pPr>
        <w:pStyle w:val="NoSpacing"/>
      </w:pPr>
      <w:r>
        <w:tab/>
        <w:t xml:space="preserve">Canberra </w:t>
      </w:r>
      <w:r w:rsidR="007E6D20">
        <w:t xml:space="preserve"> </w:t>
      </w:r>
      <w:r>
        <w:t xml:space="preserve">ACT </w:t>
      </w:r>
      <w:r w:rsidR="007E6D20">
        <w:t xml:space="preserve"> </w:t>
      </w:r>
      <w:r>
        <w:t>2601.</w:t>
      </w:r>
    </w:p>
    <w:p w14:paraId="07C656F8" w14:textId="77777777" w:rsidR="00210BFF" w:rsidRDefault="00210BFF" w:rsidP="00210BFF">
      <w:pPr>
        <w:pStyle w:val="NoSpacing"/>
      </w:pPr>
    </w:p>
    <w:p w14:paraId="45F2FC3D" w14:textId="77777777" w:rsidR="00C53072" w:rsidRDefault="00210BFF" w:rsidP="00CA6628">
      <w:r>
        <w:t xml:space="preserve">The due date for responses is close of business (AEST) on </w:t>
      </w:r>
      <w:r w:rsidR="00BC7024">
        <w:rPr>
          <w:b/>
        </w:rPr>
        <w:t>30 November</w:t>
      </w:r>
      <w:r w:rsidR="00743CFE" w:rsidRPr="00EC2657">
        <w:rPr>
          <w:b/>
        </w:rPr>
        <w:t>, 201</w:t>
      </w:r>
      <w:r w:rsidR="00E87E49">
        <w:rPr>
          <w:b/>
        </w:rPr>
        <w:t>8</w:t>
      </w:r>
      <w:r>
        <w:t xml:space="preserve">. </w:t>
      </w:r>
    </w:p>
    <w:p w14:paraId="5F0325AF" w14:textId="15C37CBD" w:rsidR="00210BFF" w:rsidRPr="00C53072" w:rsidRDefault="00210BFF" w:rsidP="00CA6628">
      <w:pPr>
        <w:rPr>
          <w:i/>
        </w:rPr>
      </w:pPr>
      <w:r w:rsidRPr="00C53072">
        <w:rPr>
          <w:i/>
        </w:rPr>
        <w:t>Late submissions will not be accepted without prior arrangement.</w:t>
      </w:r>
    </w:p>
    <w:p w14:paraId="48A1F342" w14:textId="7D792BFE" w:rsidR="00862788" w:rsidRDefault="00862788" w:rsidP="00D63B13">
      <w:pPr>
        <w:pStyle w:val="Heading2"/>
      </w:pPr>
      <w:r>
        <w:t>Questions</w:t>
      </w:r>
    </w:p>
    <w:p w14:paraId="34D228EF" w14:textId="6DBC9520" w:rsidR="00862788" w:rsidRPr="00862788" w:rsidRDefault="00862788" w:rsidP="00862788">
      <w:r>
        <w:t xml:space="preserve">If you have any questions regarding any aspect of the Options Paper or how to respond, please email  </w:t>
      </w:r>
      <w:hyperlink r:id="rId18" w:history="1">
        <w:r w:rsidRPr="007F2FD3">
          <w:rPr>
            <w:rStyle w:val="Hyperlink"/>
          </w:rPr>
          <w:t>nccawareness@abcb.gov.au</w:t>
        </w:r>
      </w:hyperlink>
      <w:r>
        <w:t>, or call 1300 134 631.</w:t>
      </w:r>
    </w:p>
    <w:p w14:paraId="641A8565" w14:textId="5877BCE1" w:rsidR="00103A29" w:rsidRDefault="0066267D" w:rsidP="00D63B13">
      <w:pPr>
        <w:pStyle w:val="Heading2"/>
      </w:pPr>
      <w:r>
        <w:t>Privacy</w:t>
      </w:r>
    </w:p>
    <w:p w14:paraId="1BAAEC21" w14:textId="025D2B7F" w:rsidR="0066267D" w:rsidRPr="0066267D" w:rsidRDefault="00D63B13" w:rsidP="00D63B13">
      <w:r>
        <w:t>T</w:t>
      </w:r>
      <w:r w:rsidR="0066267D" w:rsidRPr="0066267D">
        <w:t>he ABCB is bound by the Australian Privacy Principles in the Privacy Act 1988 (the Privacy Act), which regulates how agencies collect, use, disclose and store personal information, including sensitive information, and how individuals may access and correct records containing their personal information.</w:t>
      </w:r>
    </w:p>
    <w:p w14:paraId="6D39AB91" w14:textId="31D2E4A8" w:rsidR="0066267D" w:rsidRDefault="0066267D">
      <w:r w:rsidRPr="0066267D">
        <w:t>The ABCB respects the right to privacy under the Privacy Act and complies with Privacy Act requirements in relation to the collection and management of personal information.</w:t>
      </w:r>
    </w:p>
    <w:p w14:paraId="00B16DEE" w14:textId="0AFABA53" w:rsidR="0066267D" w:rsidRPr="0066267D" w:rsidRDefault="0066267D">
      <w:r>
        <w:t xml:space="preserve">Further information regarding the ABCB’s privacy policy is available through the ABCB website at: </w:t>
      </w:r>
      <w:hyperlink r:id="rId19" w:history="1">
        <w:r w:rsidRPr="00007987">
          <w:rPr>
            <w:rStyle w:val="Hyperlink"/>
          </w:rPr>
          <w:t>http://www.abcb.gov.au/Footer/Privacy</w:t>
        </w:r>
      </w:hyperlink>
      <w:r>
        <w:t xml:space="preserve">. </w:t>
      </w:r>
    </w:p>
    <w:p w14:paraId="25FCDAD6" w14:textId="77777777" w:rsidR="00103A29" w:rsidRDefault="00103A29">
      <w:pPr>
        <w:jc w:val="left"/>
      </w:pPr>
      <w:r>
        <w:br w:type="page"/>
      </w:r>
    </w:p>
    <w:p w14:paraId="20FCD28F" w14:textId="1505AE02" w:rsidR="00103A29" w:rsidRDefault="00103A29" w:rsidP="00103A29">
      <w:pPr>
        <w:pStyle w:val="Heading1"/>
      </w:pPr>
      <w:bookmarkStart w:id="34" w:name="_Toc525123770"/>
      <w:r>
        <w:t>Next Steps</w:t>
      </w:r>
      <w:bookmarkEnd w:id="34"/>
    </w:p>
    <w:p w14:paraId="364520BC" w14:textId="2B70D9F8" w:rsidR="00103A29" w:rsidRDefault="00743CFE" w:rsidP="00103A29">
      <w:r>
        <w:t>This section outlines what will occur following the completion of consultation on this Options Paper.</w:t>
      </w:r>
      <w:r w:rsidR="00BE6F42">
        <w:t xml:space="preserve"> This </w:t>
      </w:r>
      <w:r w:rsidR="003A5620">
        <w:t xml:space="preserve">is </w:t>
      </w:r>
      <w:r w:rsidR="00BE6F42">
        <w:t xml:space="preserve">set out in three steps; an outcomes report, a RIS and, pending the outcome of the RIS process, the </w:t>
      </w:r>
      <w:r w:rsidR="0086471A">
        <w:t xml:space="preserve">possible </w:t>
      </w:r>
      <w:r w:rsidR="00BE6F42">
        <w:t>inclusion of draft changes to the NCC in the NCC 2022 public comment draft. Each of these steps is explained below.</w:t>
      </w:r>
    </w:p>
    <w:p w14:paraId="15F130CF" w14:textId="1D5DF3CB" w:rsidR="00103A29" w:rsidRDefault="00103A29" w:rsidP="00103A29">
      <w:pPr>
        <w:pStyle w:val="Heading2"/>
      </w:pPr>
      <w:r>
        <w:t>Outcomes Report</w:t>
      </w:r>
    </w:p>
    <w:p w14:paraId="3DD00D5E" w14:textId="27CB311C" w:rsidR="00743CFE" w:rsidRDefault="00743CFE" w:rsidP="00103A29">
      <w:r>
        <w:t>Following the closing date for written submission</w:t>
      </w:r>
      <w:r w:rsidR="00314D30">
        <w:t>s</w:t>
      </w:r>
      <w:r>
        <w:t>, the ABCB will collate th</w:t>
      </w:r>
      <w:r w:rsidR="002B46B2">
        <w:t>e</w:t>
      </w:r>
      <w:r>
        <w:t xml:space="preserve"> information received into an Outcomes Report. The Outcomes Report will be made public. Its</w:t>
      </w:r>
      <w:r w:rsidR="007E6D20">
        <w:t xml:space="preserve"> purpose will be to document the ABCB’s</w:t>
      </w:r>
      <w:r>
        <w:t xml:space="preserve"> understanding of key issues raised by stakeholders </w:t>
      </w:r>
      <w:r w:rsidR="0086471A">
        <w:t>that</w:t>
      </w:r>
      <w:r>
        <w:t xml:space="preserve"> may impact upon the development of the RIS (see below).</w:t>
      </w:r>
    </w:p>
    <w:p w14:paraId="26A8309E" w14:textId="4F047192" w:rsidR="00103A29" w:rsidRDefault="00743CFE" w:rsidP="00BE6F42">
      <w:pPr>
        <w:pBdr>
          <w:top w:val="single" w:sz="4" w:space="1" w:color="auto"/>
          <w:left w:val="single" w:sz="4" w:space="4" w:color="auto"/>
          <w:bottom w:val="single" w:sz="4" w:space="1" w:color="auto"/>
          <w:right w:val="single" w:sz="4" w:space="4" w:color="auto"/>
        </w:pBdr>
      </w:pPr>
      <w:r>
        <w:t xml:space="preserve">The Outcomes Report will also be provided </w:t>
      </w:r>
      <w:r w:rsidR="007E6D20">
        <w:t xml:space="preserve">to </w:t>
      </w:r>
      <w:r>
        <w:t xml:space="preserve">the </w:t>
      </w:r>
      <w:r w:rsidR="002B46B2">
        <w:t xml:space="preserve">BMF </w:t>
      </w:r>
      <w:r>
        <w:t xml:space="preserve">and the Disability Reform Council Ministers for their </w:t>
      </w:r>
      <w:r w:rsidR="0086471A">
        <w:t>consideration</w:t>
      </w:r>
      <w:r>
        <w:t xml:space="preserve"> prior to the commencement of the RIS.</w:t>
      </w:r>
    </w:p>
    <w:p w14:paraId="1B2282E4" w14:textId="6BA876B4" w:rsidR="00EA2A3F" w:rsidRDefault="00EA2A3F" w:rsidP="00103A29">
      <w:r>
        <w:t xml:space="preserve">It is anticipated that the Outcomes Report will be released in </w:t>
      </w:r>
      <w:r w:rsidR="002D481E">
        <w:t xml:space="preserve">early </w:t>
      </w:r>
      <w:r>
        <w:t>2019.</w:t>
      </w:r>
    </w:p>
    <w:p w14:paraId="385E76C8" w14:textId="06006DD4" w:rsidR="00103A29" w:rsidRDefault="00103A29" w:rsidP="00103A29">
      <w:pPr>
        <w:pStyle w:val="Heading2"/>
      </w:pPr>
      <w:r>
        <w:t>Regulation Impact Statement (RIS)</w:t>
      </w:r>
    </w:p>
    <w:p w14:paraId="68B1728E" w14:textId="65D0B9D0" w:rsidR="00103A29" w:rsidRDefault="001F743E" w:rsidP="00103A29">
      <w:r w:rsidRPr="008705B9">
        <w:t xml:space="preserve">Each major proposal to amend the NCC is assessed in the form of a </w:t>
      </w:r>
      <w:r>
        <w:t>RIS</w:t>
      </w:r>
      <w:r w:rsidRPr="008705B9">
        <w:t xml:space="preserve">. The ABCB prepares </w:t>
      </w:r>
      <w:r>
        <w:t>a Consultation RIS</w:t>
      </w:r>
      <w:r w:rsidRPr="008705B9">
        <w:t xml:space="preserve"> for comment by interested parties, with the information gathered during consultation incorporated into a Final RIS for decision</w:t>
      </w:r>
      <w:r w:rsidR="0086471A">
        <w:t xml:space="preserve"> by the ABCB</w:t>
      </w:r>
      <w:r w:rsidRPr="008705B9">
        <w:t>.</w:t>
      </w:r>
      <w:r>
        <w:t xml:space="preserve"> As agreed by </w:t>
      </w:r>
      <w:r w:rsidR="00871E81">
        <w:t>the BMF</w:t>
      </w:r>
      <w:r>
        <w:t>, the RIS will use a sensitivity approach and be informed by appropriate case studies</w:t>
      </w:r>
      <w:r w:rsidR="00871E81">
        <w:t xml:space="preserve"> and other relevant information gathered by the ABCB, including in response to this paper</w:t>
      </w:r>
      <w:r>
        <w:t>.</w:t>
      </w:r>
      <w:r>
        <w:rPr>
          <w:rStyle w:val="FootnoteReference"/>
        </w:rPr>
        <w:footnoteReference w:id="44"/>
      </w:r>
    </w:p>
    <w:p w14:paraId="4A9ABE1F" w14:textId="2402F8B0" w:rsidR="00103A29" w:rsidRDefault="00103A29" w:rsidP="00103A29">
      <w:pPr>
        <w:pStyle w:val="Heading3"/>
      </w:pPr>
      <w:r>
        <w:t>Consultation RIS</w:t>
      </w:r>
    </w:p>
    <w:p w14:paraId="3983CF1B" w14:textId="30E47630" w:rsidR="00210BFF" w:rsidRPr="009D5921" w:rsidRDefault="00210BFF" w:rsidP="00210BFF">
      <w:r w:rsidRPr="009D5921">
        <w:t xml:space="preserve">A Consultation RIS is prepared in accordance with COAG best practice regulation requirements for the purpose of consulting with interested parties. It incorporates all formal elements </w:t>
      </w:r>
      <w:r w:rsidR="007E6D20">
        <w:t>of a RIS, including a full cost-</w:t>
      </w:r>
      <w:r w:rsidRPr="009D5921">
        <w:t>benefit analysis. Interested parties are invited to comment on any aspect of the Consultation RIS. For example, interested parties could provide comment on whether the description of the problem captures the essence of the issues or to suggest other options that are viable that can address the problem. Interested parties are encouraged to comment on the impacts of the options – both the costs and the benefits – and how the regulatory proposal will work in practice. Comments on the Consultation RIS will assist in preparation of a Final RIS for decision-makers.</w:t>
      </w:r>
    </w:p>
    <w:p w14:paraId="10AD179B" w14:textId="77777777" w:rsidR="00210BFF" w:rsidRPr="009D5921" w:rsidRDefault="00210BFF" w:rsidP="00210BFF">
      <w:r w:rsidRPr="009D5921">
        <w:t>Each Consultation RIS is assessed by the Office of Best Practice Regulation (OBPR) and assessed for compliance with the COAG requirements for best practice regulation.</w:t>
      </w:r>
    </w:p>
    <w:p w14:paraId="1A96BDFB" w14:textId="28D2CCD8" w:rsidR="00103A29" w:rsidRDefault="00210BFF" w:rsidP="00103A29">
      <w:r w:rsidRPr="009D5921">
        <w:t xml:space="preserve">The content of a Consultation RIS does not reflect a final decision of the </w:t>
      </w:r>
      <w:r w:rsidR="007E6D20">
        <w:t xml:space="preserve">ABCB </w:t>
      </w:r>
      <w:r w:rsidRPr="009D5921">
        <w:t>Board in relation to the matter that is the subject of the RIS.</w:t>
      </w:r>
    </w:p>
    <w:p w14:paraId="210B3BC0" w14:textId="4F115C87" w:rsidR="00103A29" w:rsidRDefault="00103A29" w:rsidP="00103A29">
      <w:pPr>
        <w:pStyle w:val="Heading3"/>
      </w:pPr>
      <w:r>
        <w:t>Final RIS</w:t>
      </w:r>
    </w:p>
    <w:p w14:paraId="74E66DF1" w14:textId="3A094972" w:rsidR="004E0897" w:rsidRDefault="00210BFF" w:rsidP="00103A29">
      <w:r w:rsidRPr="009D5921">
        <w:t xml:space="preserve">The ABCB will review all comments received on the Consultation RIS and incorporate stakeholder information and data into the regulatory analysis, as appropriate. The RIS will be forwarded to the </w:t>
      </w:r>
      <w:r w:rsidR="007E6D20">
        <w:t xml:space="preserve">ABCB </w:t>
      </w:r>
      <w:r w:rsidRPr="009D5921">
        <w:t xml:space="preserve">Board as an input into its decision-making </w:t>
      </w:r>
      <w:r>
        <w:t>on whether any changes should be made to the NCC</w:t>
      </w:r>
      <w:r w:rsidRPr="009D5921">
        <w:t>.</w:t>
      </w:r>
    </w:p>
    <w:p w14:paraId="68178633" w14:textId="1CF6A7F0" w:rsidR="00103A29" w:rsidRDefault="00103A29" w:rsidP="00103A29">
      <w:pPr>
        <w:pStyle w:val="Heading2"/>
      </w:pPr>
      <w:r>
        <w:t>NCC Public Comment Draft</w:t>
      </w:r>
    </w:p>
    <w:p w14:paraId="67AB1829" w14:textId="4EFAC030" w:rsidR="00210BFF" w:rsidRDefault="00210BFF" w:rsidP="00210BFF">
      <w:r>
        <w:t xml:space="preserve">Pending the outcome of the RIS process, draft </w:t>
      </w:r>
      <w:r w:rsidR="007E6D20">
        <w:t xml:space="preserve">technical </w:t>
      </w:r>
      <w:r>
        <w:t xml:space="preserve">changes to the NCC to include housing accessibility requirements </w:t>
      </w:r>
      <w:r w:rsidR="0086471A">
        <w:t>would</w:t>
      </w:r>
      <w:r>
        <w:t xml:space="preserve"> be exposed for public comment as part of the NCC 2022 public comment draft.</w:t>
      </w:r>
    </w:p>
    <w:p w14:paraId="29CAD275" w14:textId="7E05BEB4" w:rsidR="00210BFF" w:rsidRPr="008665B7" w:rsidRDefault="00210BFF" w:rsidP="00210BFF">
      <w:r w:rsidRPr="008665B7">
        <w:t xml:space="preserve">Under the three-yearly amendment cycle that applies to the NCC, the 2022 edition would be the first available opportunity to expose any draft </w:t>
      </w:r>
      <w:r w:rsidR="007E6D20">
        <w:t xml:space="preserve">technical </w:t>
      </w:r>
      <w:r w:rsidRPr="008665B7">
        <w:t>changes to the NCC for public comment.</w:t>
      </w:r>
    </w:p>
    <w:p w14:paraId="64F8AC1E" w14:textId="77777777" w:rsidR="00210BFF" w:rsidRDefault="00210BFF" w:rsidP="00210BFF">
      <w:r>
        <w:t>It is expected that the NCC 2022 public comment draft will open for comment in the first half of 2021.</w:t>
      </w:r>
    </w:p>
    <w:p w14:paraId="3D71FBFF" w14:textId="77777777" w:rsidR="007E6D20" w:rsidRDefault="00210BFF" w:rsidP="00210BFF">
      <w:r>
        <w:t xml:space="preserve">Responses to the public comment draft will be considered by the ABCB's Building Codes Committee (BCC) as appropriate. The role of </w:t>
      </w:r>
      <w:r w:rsidR="00871E81">
        <w:t>this</w:t>
      </w:r>
      <w:r>
        <w:t xml:space="preserve"> committee is to provide expert advice on technical matters; </w:t>
      </w:r>
      <w:r w:rsidR="00871E81">
        <w:t>it is</w:t>
      </w:r>
      <w:r>
        <w:t xml:space="preserve"> not </w:t>
      </w:r>
      <w:r w:rsidR="00871E81">
        <w:t xml:space="preserve">a </w:t>
      </w:r>
      <w:r>
        <w:t>decision-making bod</w:t>
      </w:r>
      <w:r w:rsidR="00871E81">
        <w:t>y</w:t>
      </w:r>
      <w:r>
        <w:t xml:space="preserve">. </w:t>
      </w:r>
    </w:p>
    <w:p w14:paraId="32EFDE08" w14:textId="6C601048" w:rsidR="00210BFF" w:rsidRDefault="00210BFF" w:rsidP="00210BFF">
      <w:r>
        <w:t xml:space="preserve">Following BCC consideration, the proposed text of the NCC is provided to the </w:t>
      </w:r>
      <w:r w:rsidR="007E6D20">
        <w:t xml:space="preserve">ABCB </w:t>
      </w:r>
      <w:r>
        <w:t>Board for sign-off. When this occurs, the text is finalised and prepared for publication.</w:t>
      </w:r>
    </w:p>
    <w:p w14:paraId="3725984C" w14:textId="46854113" w:rsidR="00210BFF" w:rsidRPr="009D5921" w:rsidRDefault="00210BFF" w:rsidP="00210BFF">
      <w:r>
        <w:t xml:space="preserve">It is anticipated that the 2022 edition of the NCC will take effect in each State and Territory </w:t>
      </w:r>
      <w:r w:rsidR="007E6D20">
        <w:t>on</w:t>
      </w:r>
      <w:r>
        <w:t xml:space="preserve"> 1 May, 2022.</w:t>
      </w:r>
    </w:p>
    <w:p w14:paraId="4E514FC9" w14:textId="614E591C" w:rsidR="00871E81" w:rsidRDefault="00871E81" w:rsidP="00871E81">
      <w:pPr>
        <w:pBdr>
          <w:top w:val="single" w:sz="4" w:space="1" w:color="auto"/>
          <w:left w:val="single" w:sz="4" w:space="4" w:color="auto"/>
          <w:bottom w:val="single" w:sz="4" w:space="1" w:color="auto"/>
          <w:right w:val="single" w:sz="4" w:space="4" w:color="auto"/>
        </w:pBdr>
      </w:pPr>
      <w:r>
        <w:t xml:space="preserve">The BMF and the Disability Reform Council Ministers will be </w:t>
      </w:r>
      <w:r w:rsidR="004E0897">
        <w:t>involved in</w:t>
      </w:r>
      <w:r>
        <w:t xml:space="preserve"> the progress of these steps</w:t>
      </w:r>
      <w:r w:rsidR="004E0897">
        <w:t xml:space="preserve"> as appropriate</w:t>
      </w:r>
      <w:r>
        <w:t>.</w:t>
      </w:r>
    </w:p>
    <w:p w14:paraId="02B2B5D7" w14:textId="3D9569D2" w:rsidR="00103A29" w:rsidRPr="00103A29" w:rsidRDefault="00103A29" w:rsidP="00103A29"/>
    <w:p w14:paraId="65B68D01" w14:textId="77777777" w:rsidR="00D60253" w:rsidRDefault="00D60253">
      <w:pPr>
        <w:jc w:val="left"/>
        <w:rPr>
          <w:rFonts w:asciiTheme="majorHAnsi" w:eastAsiaTheme="majorEastAsia" w:hAnsiTheme="majorHAnsi" w:cstheme="majorBidi"/>
          <w:b/>
          <w:bCs/>
          <w:color w:val="002060"/>
          <w:sz w:val="40"/>
          <w:szCs w:val="28"/>
        </w:rPr>
      </w:pPr>
      <w:r>
        <w:br w:type="page"/>
      </w:r>
    </w:p>
    <w:p w14:paraId="4BCEF228" w14:textId="4E6A7926" w:rsidR="006C5DE3" w:rsidRDefault="006C5DE3" w:rsidP="006C5DE3">
      <w:pPr>
        <w:pStyle w:val="Heading1"/>
      </w:pPr>
      <w:bookmarkStart w:id="35" w:name="_Toc525123771"/>
      <w:r>
        <w:t>Appendix A – Weighted Average Cost Scenarios</w:t>
      </w:r>
      <w:bookmarkEnd w:id="35"/>
    </w:p>
    <w:p w14:paraId="4B6D5847" w14:textId="4E0E6A68" w:rsidR="00D60253" w:rsidRDefault="00D60253" w:rsidP="006C5DE3">
      <w:r>
        <w:t>The scenarios and scenario weightings used in the 'Preliminary Costings' section</w:t>
      </w:r>
      <w:r w:rsidR="002D481E">
        <w:t>s</w:t>
      </w:r>
      <w:r>
        <w:t xml:space="preserve"> are based on the tables given in this Appendix. The weightings applied to each of the High, Medium and Low impact scenarios are based on the expert judgement of the quantity surveyor (DCWC) based on their experience of the construction industry.</w:t>
      </w:r>
    </w:p>
    <w:p w14:paraId="0D3A9E41" w14:textId="15BD75D8" w:rsidR="00AB3A7A" w:rsidRDefault="00AB3A7A" w:rsidP="006C5DE3">
      <w:r>
        <w:t xml:space="preserve">Only the LHDG Silver and Gold Levels </w:t>
      </w:r>
      <w:r w:rsidR="00314D30">
        <w:t xml:space="preserve">(Options 2 and 3) </w:t>
      </w:r>
      <w:r>
        <w:t xml:space="preserve">are included here; for the </w:t>
      </w:r>
      <w:r w:rsidR="00314D30">
        <w:t>Option 1</w:t>
      </w:r>
      <w:r>
        <w:t xml:space="preserve"> it is assumed that the scenario weighting would be the same as for the Silver Level.</w:t>
      </w:r>
    </w:p>
    <w:p w14:paraId="5EFEC196" w14:textId="1B10F6AD" w:rsidR="00163F60" w:rsidRDefault="00163F60" w:rsidP="006C5DE3">
      <w:r>
        <w:t>A list of the Performance Requirements (referred to in the LHDG as 'Design Elements') applicable under the Silver and Gold Levels has been included above each table for easy reference when reading the table.</w:t>
      </w:r>
    </w:p>
    <w:p w14:paraId="08829EAA" w14:textId="5C8B0981" w:rsidR="008D2F1A" w:rsidRDefault="008D2F1A" w:rsidP="008D2F1A">
      <w:pPr>
        <w:pStyle w:val="Heading2"/>
      </w:pPr>
      <w:r>
        <w:t>Performance Requirements – LHDG Silver Level</w:t>
      </w:r>
    </w:p>
    <w:p w14:paraId="30B6BB77" w14:textId="77777777" w:rsidR="008D2F1A" w:rsidRPr="0067667C" w:rsidRDefault="008D2F1A" w:rsidP="008D2F1A">
      <w:pPr>
        <w:rPr>
          <w:rFonts w:eastAsia="Calibri" w:cs="Times New Roman"/>
        </w:rPr>
      </w:pPr>
      <w:r w:rsidRPr="0067667C">
        <w:rPr>
          <w:rFonts w:eastAsia="Calibri" w:cs="Times New Roman"/>
        </w:rPr>
        <w:t>(1)</w:t>
      </w:r>
      <w:r w:rsidRPr="0067667C">
        <w:rPr>
          <w:rFonts w:eastAsia="Calibri" w:cs="Times New Roman"/>
        </w:rPr>
        <w:tab/>
        <w:t xml:space="preserve">A safe, continuous, step-free pathway from the street entrance and/or parking area to </w:t>
      </w:r>
      <w:r w:rsidRPr="0067667C">
        <w:rPr>
          <w:rFonts w:eastAsia="Calibri" w:cs="Times New Roman"/>
        </w:rPr>
        <w:tab/>
        <w:t xml:space="preserve">a dwelling entrance that is level (Note: this does not apply for blocks steeper than </w:t>
      </w:r>
      <w:r w:rsidRPr="0067667C">
        <w:rPr>
          <w:rFonts w:eastAsia="Calibri" w:cs="Times New Roman"/>
        </w:rPr>
        <w:tab/>
        <w:t>1:14.)</w:t>
      </w:r>
    </w:p>
    <w:p w14:paraId="6D429B38" w14:textId="77777777" w:rsidR="008D2F1A" w:rsidRPr="0067667C" w:rsidRDefault="008D2F1A" w:rsidP="008D2F1A">
      <w:pPr>
        <w:rPr>
          <w:rFonts w:eastAsia="Calibri" w:cs="Times New Roman"/>
        </w:rPr>
      </w:pPr>
      <w:r w:rsidRPr="0067667C">
        <w:rPr>
          <w:rFonts w:eastAsia="Calibri" w:cs="Times New Roman"/>
        </w:rPr>
        <w:t>(2)</w:t>
      </w:r>
      <w:r w:rsidRPr="0067667C">
        <w:rPr>
          <w:rFonts w:eastAsia="Calibri" w:cs="Times New Roman"/>
        </w:rPr>
        <w:tab/>
        <w:t xml:space="preserve">At least one level (step-free) entrance into the dwelling to enable home occupants to </w:t>
      </w:r>
      <w:r w:rsidRPr="0067667C">
        <w:rPr>
          <w:rFonts w:eastAsia="Calibri" w:cs="Times New Roman"/>
        </w:rPr>
        <w:tab/>
        <w:t>easily enter and exit the dwelling.</w:t>
      </w:r>
    </w:p>
    <w:p w14:paraId="2F49AF20" w14:textId="77777777" w:rsidR="008D2F1A" w:rsidRPr="0067667C" w:rsidRDefault="008D2F1A" w:rsidP="008D2F1A">
      <w:pPr>
        <w:rPr>
          <w:rFonts w:eastAsia="Calibri" w:cs="Times New Roman"/>
        </w:rPr>
      </w:pPr>
      <w:r w:rsidRPr="0067667C">
        <w:rPr>
          <w:rFonts w:eastAsia="Calibri" w:cs="Times New Roman"/>
        </w:rPr>
        <w:t>(3)</w:t>
      </w:r>
      <w:r w:rsidRPr="0067667C">
        <w:rPr>
          <w:rFonts w:eastAsia="Calibri" w:cs="Times New Roman"/>
        </w:rPr>
        <w:tab/>
        <w:t xml:space="preserve">Internal doors and corridors that facilitate comfortable and unimpeded movement </w:t>
      </w:r>
      <w:r w:rsidRPr="0067667C">
        <w:rPr>
          <w:rFonts w:eastAsia="Calibri" w:cs="Times New Roman"/>
        </w:rPr>
        <w:tab/>
        <w:t>between spaces.</w:t>
      </w:r>
    </w:p>
    <w:p w14:paraId="38D03B2A" w14:textId="77777777" w:rsidR="008D2F1A" w:rsidRPr="0067667C" w:rsidRDefault="008D2F1A" w:rsidP="008D2F1A">
      <w:pPr>
        <w:rPr>
          <w:rFonts w:eastAsia="Calibri" w:cs="Times New Roman"/>
        </w:rPr>
      </w:pPr>
      <w:r w:rsidRPr="0067667C">
        <w:rPr>
          <w:rFonts w:eastAsia="Calibri" w:cs="Times New Roman"/>
        </w:rPr>
        <w:t>(4)</w:t>
      </w:r>
      <w:r w:rsidRPr="0067667C">
        <w:rPr>
          <w:rFonts w:eastAsia="Calibri" w:cs="Times New Roman"/>
        </w:rPr>
        <w:tab/>
        <w:t xml:space="preserve">The ground (or entry) level has a toilet to support easy access for home occupants and </w:t>
      </w:r>
      <w:r w:rsidRPr="0067667C">
        <w:rPr>
          <w:rFonts w:eastAsia="Calibri" w:cs="Times New Roman"/>
        </w:rPr>
        <w:tab/>
        <w:t>visitors.</w:t>
      </w:r>
    </w:p>
    <w:p w14:paraId="277A7A40" w14:textId="77777777" w:rsidR="008D2F1A" w:rsidRPr="0067667C" w:rsidRDefault="008D2F1A" w:rsidP="008D2F1A">
      <w:pPr>
        <w:rPr>
          <w:rFonts w:eastAsia="Calibri" w:cs="Times New Roman"/>
        </w:rPr>
      </w:pPr>
      <w:r w:rsidRPr="0067667C">
        <w:rPr>
          <w:rFonts w:eastAsia="Calibri" w:cs="Times New Roman"/>
        </w:rPr>
        <w:t>(5)</w:t>
      </w:r>
      <w:r w:rsidRPr="0067667C">
        <w:rPr>
          <w:rFonts w:eastAsia="Calibri" w:cs="Times New Roman"/>
        </w:rPr>
        <w:tab/>
        <w:t xml:space="preserve">The bathroom and shower is designed for easy and independent access for all home </w:t>
      </w:r>
      <w:r w:rsidRPr="0067667C">
        <w:rPr>
          <w:rFonts w:eastAsia="Calibri" w:cs="Times New Roman"/>
        </w:rPr>
        <w:tab/>
        <w:t>occupants.</w:t>
      </w:r>
    </w:p>
    <w:p w14:paraId="20B0A160" w14:textId="77777777" w:rsidR="008D2F1A" w:rsidRPr="0067667C" w:rsidRDefault="008D2F1A" w:rsidP="008D2F1A">
      <w:pPr>
        <w:rPr>
          <w:rFonts w:eastAsia="Calibri" w:cs="Times New Roman"/>
        </w:rPr>
      </w:pPr>
      <w:r w:rsidRPr="0067667C">
        <w:rPr>
          <w:rFonts w:eastAsia="Calibri" w:cs="Times New Roman"/>
        </w:rPr>
        <w:t>(6)</w:t>
      </w:r>
      <w:r w:rsidRPr="0067667C">
        <w:rPr>
          <w:rFonts w:eastAsia="Calibri" w:cs="Times New Roman"/>
        </w:rPr>
        <w:tab/>
        <w:t xml:space="preserve">Bathroom and toilet walls are built to enable grabrails to be safely and economically </w:t>
      </w:r>
      <w:r w:rsidRPr="0067667C">
        <w:rPr>
          <w:rFonts w:eastAsia="Calibri" w:cs="Times New Roman"/>
        </w:rPr>
        <w:tab/>
        <w:t>installed (immediately or in the future).</w:t>
      </w:r>
    </w:p>
    <w:p w14:paraId="519DE067" w14:textId="25DB07CE" w:rsidR="008D2F1A" w:rsidRPr="008D2F1A" w:rsidRDefault="008D2F1A" w:rsidP="008D2F1A">
      <w:pPr>
        <w:rPr>
          <w:rFonts w:eastAsia="Calibri" w:cs="Times New Roman"/>
        </w:rPr>
      </w:pPr>
      <w:r w:rsidRPr="0067667C">
        <w:rPr>
          <w:rFonts w:eastAsia="Calibri" w:cs="Times New Roman"/>
        </w:rPr>
        <w:t>(7)</w:t>
      </w:r>
      <w:r w:rsidRPr="0067667C">
        <w:rPr>
          <w:rFonts w:eastAsia="Calibri" w:cs="Times New Roman"/>
        </w:rPr>
        <w:tab/>
        <w:t xml:space="preserve">Where installed, stairways are designed to reduce the likelihood of injury and also </w:t>
      </w:r>
      <w:r w:rsidRPr="0067667C">
        <w:rPr>
          <w:rFonts w:eastAsia="Calibri" w:cs="Times New Roman"/>
        </w:rPr>
        <w:tab/>
        <w:t xml:space="preserve">enable a safe pathway. (Note: For Silver Level, this does not add </w:t>
      </w:r>
      <w:r>
        <w:rPr>
          <w:rFonts w:eastAsia="Calibri" w:cs="Times New Roman"/>
        </w:rPr>
        <w:t xml:space="preserve">to existing NCC </w:t>
      </w:r>
      <w:r>
        <w:rPr>
          <w:rFonts w:eastAsia="Calibri" w:cs="Times New Roman"/>
        </w:rPr>
        <w:tab/>
        <w:t>requirements.)</w:t>
      </w:r>
    </w:p>
    <w:p w14:paraId="226D99DA" w14:textId="0F130D5C" w:rsidR="00D60253" w:rsidRDefault="008D2F1A" w:rsidP="003540B9">
      <w:pPr>
        <w:pStyle w:val="Heading3"/>
      </w:pPr>
      <w:r>
        <w:t>Table A1 –</w:t>
      </w:r>
      <w:r w:rsidR="00D60253">
        <w:t xml:space="preserve"> </w:t>
      </w:r>
      <w:r w:rsidR="00EF2880">
        <w:t xml:space="preserve">New </w:t>
      </w:r>
      <w:r w:rsidR="00AB3A7A">
        <w:t>Class 1a Dwellings (Silver Level)</w:t>
      </w:r>
    </w:p>
    <w:tbl>
      <w:tblPr>
        <w:tblStyle w:val="TableGrid"/>
        <w:tblW w:w="0" w:type="auto"/>
        <w:tblLook w:val="04A0" w:firstRow="1" w:lastRow="0" w:firstColumn="1" w:lastColumn="0" w:noHBand="0" w:noVBand="1"/>
        <w:tblCaption w:val="Table A1 - New Class 1a Dwellings (Silver Level)"/>
        <w:tblDescription w:val="Table of scenario weightings for new Class 1a dwellings to LHDG Silver Level."/>
      </w:tblPr>
      <w:tblGrid>
        <w:gridCol w:w="2301"/>
        <w:gridCol w:w="2362"/>
        <w:gridCol w:w="2336"/>
        <w:gridCol w:w="2017"/>
      </w:tblGrid>
      <w:tr w:rsidR="00AB3A7A" w14:paraId="6305F791" w14:textId="4E9FE011" w:rsidTr="000D3298">
        <w:trPr>
          <w:tblHeader/>
        </w:trPr>
        <w:tc>
          <w:tcPr>
            <w:tcW w:w="2301" w:type="dxa"/>
            <w:shd w:val="clear" w:color="auto" w:fill="BFBFBF" w:themeFill="background1" w:themeFillShade="BF"/>
          </w:tcPr>
          <w:p w14:paraId="53653FC4" w14:textId="7D60DB92" w:rsidR="00AB3A7A" w:rsidRPr="00163F60" w:rsidRDefault="00163F60" w:rsidP="00AB3A7A">
            <w:pPr>
              <w:rPr>
                <w:b/>
              </w:rPr>
            </w:pPr>
            <w:r>
              <w:rPr>
                <w:b/>
              </w:rPr>
              <w:t>Performance Requirement</w:t>
            </w:r>
          </w:p>
        </w:tc>
        <w:tc>
          <w:tcPr>
            <w:tcW w:w="2362" w:type="dxa"/>
            <w:shd w:val="clear" w:color="auto" w:fill="BFBFBF" w:themeFill="background1" w:themeFillShade="BF"/>
          </w:tcPr>
          <w:p w14:paraId="1A7A869C" w14:textId="77777777" w:rsidR="00163F60" w:rsidRDefault="00AB3A7A" w:rsidP="00163F60">
            <w:pPr>
              <w:jc w:val="left"/>
              <w:rPr>
                <w:b/>
              </w:rPr>
            </w:pPr>
            <w:r w:rsidRPr="00163F60">
              <w:rPr>
                <w:b/>
              </w:rPr>
              <w:t xml:space="preserve">Low Impact </w:t>
            </w:r>
          </w:p>
          <w:p w14:paraId="6E4C1B5E" w14:textId="698AC238" w:rsidR="00AB3A7A" w:rsidRPr="00163F60" w:rsidRDefault="00AB3A7A" w:rsidP="00163F60">
            <w:pPr>
              <w:jc w:val="left"/>
              <w:rPr>
                <w:b/>
              </w:rPr>
            </w:pPr>
            <w:r w:rsidRPr="00163F60">
              <w:rPr>
                <w:b/>
              </w:rPr>
              <w:t>(% of dwellings)</w:t>
            </w:r>
          </w:p>
        </w:tc>
        <w:tc>
          <w:tcPr>
            <w:tcW w:w="2336" w:type="dxa"/>
            <w:shd w:val="clear" w:color="auto" w:fill="BFBFBF" w:themeFill="background1" w:themeFillShade="BF"/>
          </w:tcPr>
          <w:p w14:paraId="0B49DD5A" w14:textId="77777777" w:rsidR="00163F60" w:rsidRDefault="00AB3A7A" w:rsidP="00163F60">
            <w:pPr>
              <w:jc w:val="left"/>
              <w:rPr>
                <w:b/>
              </w:rPr>
            </w:pPr>
            <w:r w:rsidRPr="00163F60">
              <w:rPr>
                <w:b/>
              </w:rPr>
              <w:t xml:space="preserve">Medium Impact </w:t>
            </w:r>
          </w:p>
          <w:p w14:paraId="78C2C4D4" w14:textId="383FB495" w:rsidR="00AB3A7A" w:rsidRPr="00163F60" w:rsidRDefault="00AB3A7A" w:rsidP="00163F60">
            <w:pPr>
              <w:jc w:val="left"/>
              <w:rPr>
                <w:b/>
              </w:rPr>
            </w:pPr>
            <w:r w:rsidRPr="00163F60">
              <w:rPr>
                <w:b/>
              </w:rPr>
              <w:t>(% of dwellings</w:t>
            </w:r>
            <w:r w:rsidR="00EF2880">
              <w:rPr>
                <w:b/>
              </w:rPr>
              <w:t>)</w:t>
            </w:r>
          </w:p>
        </w:tc>
        <w:tc>
          <w:tcPr>
            <w:tcW w:w="2017" w:type="dxa"/>
            <w:shd w:val="clear" w:color="auto" w:fill="BFBFBF" w:themeFill="background1" w:themeFillShade="BF"/>
          </w:tcPr>
          <w:p w14:paraId="1E2F068C" w14:textId="77777777" w:rsidR="00163F60" w:rsidRDefault="00AB3A7A" w:rsidP="00163F60">
            <w:pPr>
              <w:jc w:val="left"/>
              <w:rPr>
                <w:b/>
              </w:rPr>
            </w:pPr>
            <w:r w:rsidRPr="00163F60">
              <w:rPr>
                <w:b/>
              </w:rPr>
              <w:t xml:space="preserve">High Impact </w:t>
            </w:r>
          </w:p>
          <w:p w14:paraId="6663D6F2" w14:textId="0D1AF118" w:rsidR="00AB3A7A" w:rsidRPr="00163F60" w:rsidRDefault="00AB3A7A" w:rsidP="00163F60">
            <w:pPr>
              <w:jc w:val="left"/>
              <w:rPr>
                <w:b/>
              </w:rPr>
            </w:pPr>
            <w:r w:rsidRPr="00163F60">
              <w:rPr>
                <w:b/>
              </w:rPr>
              <w:t>(% of Dwellings)</w:t>
            </w:r>
          </w:p>
        </w:tc>
      </w:tr>
      <w:tr w:rsidR="00AB3A7A" w14:paraId="53F41B80" w14:textId="1F39FBE6" w:rsidTr="008D2F1A">
        <w:trPr>
          <w:trHeight w:val="340"/>
        </w:trPr>
        <w:tc>
          <w:tcPr>
            <w:tcW w:w="2301" w:type="dxa"/>
          </w:tcPr>
          <w:p w14:paraId="76F76DEF" w14:textId="6CB7AF81" w:rsidR="00AB3A7A" w:rsidRDefault="008D2F1A" w:rsidP="008D2F1A">
            <w:pPr>
              <w:jc w:val="center"/>
            </w:pPr>
            <w:r>
              <w:t>(</w:t>
            </w:r>
            <w:r w:rsidR="00163F60">
              <w:t>1</w:t>
            </w:r>
            <w:r>
              <w:t>)</w:t>
            </w:r>
          </w:p>
        </w:tc>
        <w:tc>
          <w:tcPr>
            <w:tcW w:w="2362" w:type="dxa"/>
          </w:tcPr>
          <w:p w14:paraId="0D41581F" w14:textId="1417CEAE" w:rsidR="00AB3A7A" w:rsidRDefault="00163F60" w:rsidP="00AB3A7A">
            <w:r>
              <w:t>25</w:t>
            </w:r>
          </w:p>
        </w:tc>
        <w:tc>
          <w:tcPr>
            <w:tcW w:w="2336" w:type="dxa"/>
          </w:tcPr>
          <w:p w14:paraId="1EDE5F20" w14:textId="1806D027" w:rsidR="00AB3A7A" w:rsidRDefault="008D2F1A" w:rsidP="00AB3A7A">
            <w:r>
              <w:t>55</w:t>
            </w:r>
          </w:p>
        </w:tc>
        <w:tc>
          <w:tcPr>
            <w:tcW w:w="2017" w:type="dxa"/>
          </w:tcPr>
          <w:p w14:paraId="0E81754F" w14:textId="46143E9F" w:rsidR="00AB3A7A" w:rsidRDefault="008D2F1A" w:rsidP="00AB3A7A">
            <w:r>
              <w:t>20</w:t>
            </w:r>
          </w:p>
        </w:tc>
      </w:tr>
      <w:tr w:rsidR="00AB3A7A" w14:paraId="5E9FAE03" w14:textId="177E0782" w:rsidTr="008D2F1A">
        <w:trPr>
          <w:trHeight w:val="340"/>
        </w:trPr>
        <w:tc>
          <w:tcPr>
            <w:tcW w:w="2301" w:type="dxa"/>
          </w:tcPr>
          <w:p w14:paraId="56CFE546" w14:textId="5D964FE5" w:rsidR="00AB3A7A" w:rsidRDefault="008D2F1A" w:rsidP="008D2F1A">
            <w:pPr>
              <w:jc w:val="center"/>
            </w:pPr>
            <w:r>
              <w:t>(</w:t>
            </w:r>
            <w:r w:rsidR="00163F60">
              <w:t>2</w:t>
            </w:r>
            <w:r>
              <w:t>)</w:t>
            </w:r>
          </w:p>
        </w:tc>
        <w:tc>
          <w:tcPr>
            <w:tcW w:w="2362" w:type="dxa"/>
          </w:tcPr>
          <w:p w14:paraId="009B9E3A" w14:textId="606A6099" w:rsidR="00AB3A7A" w:rsidRDefault="00163F60" w:rsidP="00AB3A7A">
            <w:r>
              <w:t>20</w:t>
            </w:r>
          </w:p>
        </w:tc>
        <w:tc>
          <w:tcPr>
            <w:tcW w:w="2336" w:type="dxa"/>
          </w:tcPr>
          <w:p w14:paraId="6D11CAD8" w14:textId="11B33FD1" w:rsidR="00AB3A7A" w:rsidRDefault="008D2F1A" w:rsidP="00AB3A7A">
            <w:r>
              <w:t>40</w:t>
            </w:r>
          </w:p>
        </w:tc>
        <w:tc>
          <w:tcPr>
            <w:tcW w:w="2017" w:type="dxa"/>
          </w:tcPr>
          <w:p w14:paraId="58F2B55B" w14:textId="24A3F78A" w:rsidR="00AB3A7A" w:rsidRDefault="008D2F1A" w:rsidP="00AB3A7A">
            <w:r>
              <w:t>40</w:t>
            </w:r>
          </w:p>
        </w:tc>
      </w:tr>
      <w:tr w:rsidR="00AB3A7A" w14:paraId="3C3C938B" w14:textId="72244790" w:rsidTr="008D2F1A">
        <w:trPr>
          <w:trHeight w:val="340"/>
        </w:trPr>
        <w:tc>
          <w:tcPr>
            <w:tcW w:w="2301" w:type="dxa"/>
          </w:tcPr>
          <w:p w14:paraId="2EE3A3E6" w14:textId="6222D0F8" w:rsidR="00AB3A7A" w:rsidRDefault="008D2F1A" w:rsidP="008D2F1A">
            <w:pPr>
              <w:jc w:val="center"/>
            </w:pPr>
            <w:r>
              <w:t>(3)</w:t>
            </w:r>
          </w:p>
        </w:tc>
        <w:tc>
          <w:tcPr>
            <w:tcW w:w="2362" w:type="dxa"/>
          </w:tcPr>
          <w:p w14:paraId="6E137D3A" w14:textId="5DD4D9E7" w:rsidR="00AB3A7A" w:rsidRDefault="008D2F1A" w:rsidP="00AB3A7A">
            <w:r>
              <w:t>10</w:t>
            </w:r>
          </w:p>
        </w:tc>
        <w:tc>
          <w:tcPr>
            <w:tcW w:w="2336" w:type="dxa"/>
          </w:tcPr>
          <w:p w14:paraId="7CB80FA1" w14:textId="49B85E71" w:rsidR="00AB3A7A" w:rsidRDefault="008D2F1A" w:rsidP="00AB3A7A">
            <w:r>
              <w:t>60</w:t>
            </w:r>
          </w:p>
        </w:tc>
        <w:tc>
          <w:tcPr>
            <w:tcW w:w="2017" w:type="dxa"/>
          </w:tcPr>
          <w:p w14:paraId="74DA418A" w14:textId="410BE1A1" w:rsidR="00AB3A7A" w:rsidRDefault="008D2F1A" w:rsidP="00AB3A7A">
            <w:r>
              <w:t>30</w:t>
            </w:r>
          </w:p>
        </w:tc>
      </w:tr>
      <w:tr w:rsidR="008D2F1A" w14:paraId="6E9FD9CD" w14:textId="77777777" w:rsidTr="008D2F1A">
        <w:trPr>
          <w:trHeight w:val="340"/>
        </w:trPr>
        <w:tc>
          <w:tcPr>
            <w:tcW w:w="2301" w:type="dxa"/>
          </w:tcPr>
          <w:p w14:paraId="0D1B4BA5" w14:textId="1F11DF3D" w:rsidR="008D2F1A" w:rsidRDefault="008D2F1A" w:rsidP="008D2F1A">
            <w:pPr>
              <w:jc w:val="center"/>
            </w:pPr>
            <w:r>
              <w:t>(4)</w:t>
            </w:r>
          </w:p>
        </w:tc>
        <w:tc>
          <w:tcPr>
            <w:tcW w:w="2362" w:type="dxa"/>
          </w:tcPr>
          <w:p w14:paraId="6B31C12C" w14:textId="4EE60E89" w:rsidR="008D2F1A" w:rsidRDefault="008D2F1A" w:rsidP="00AB3A7A">
            <w:r>
              <w:t>10</w:t>
            </w:r>
          </w:p>
        </w:tc>
        <w:tc>
          <w:tcPr>
            <w:tcW w:w="2336" w:type="dxa"/>
          </w:tcPr>
          <w:p w14:paraId="6ECC92B8" w14:textId="6AC86F5D" w:rsidR="008D2F1A" w:rsidRDefault="008D2F1A" w:rsidP="00AB3A7A">
            <w:r>
              <w:t>85</w:t>
            </w:r>
          </w:p>
        </w:tc>
        <w:tc>
          <w:tcPr>
            <w:tcW w:w="2017" w:type="dxa"/>
          </w:tcPr>
          <w:p w14:paraId="39257FAD" w14:textId="26653B92" w:rsidR="008D2F1A" w:rsidRDefault="008D2F1A" w:rsidP="00AB3A7A">
            <w:r>
              <w:t>5</w:t>
            </w:r>
          </w:p>
        </w:tc>
      </w:tr>
      <w:tr w:rsidR="008D2F1A" w14:paraId="079DF4AD" w14:textId="77777777" w:rsidTr="008D2F1A">
        <w:trPr>
          <w:trHeight w:val="340"/>
        </w:trPr>
        <w:tc>
          <w:tcPr>
            <w:tcW w:w="2301" w:type="dxa"/>
          </w:tcPr>
          <w:p w14:paraId="4E8DC52F" w14:textId="0BADEA86" w:rsidR="008D2F1A" w:rsidRDefault="008D2F1A" w:rsidP="008D2F1A">
            <w:pPr>
              <w:jc w:val="center"/>
            </w:pPr>
            <w:r>
              <w:t>(5)</w:t>
            </w:r>
          </w:p>
        </w:tc>
        <w:tc>
          <w:tcPr>
            <w:tcW w:w="2362" w:type="dxa"/>
          </w:tcPr>
          <w:p w14:paraId="2FD2686D" w14:textId="14AB2263" w:rsidR="008D2F1A" w:rsidRDefault="008D2F1A" w:rsidP="00AB3A7A">
            <w:r>
              <w:t>10</w:t>
            </w:r>
          </w:p>
        </w:tc>
        <w:tc>
          <w:tcPr>
            <w:tcW w:w="2336" w:type="dxa"/>
          </w:tcPr>
          <w:p w14:paraId="35FCFAF6" w14:textId="0452FB59" w:rsidR="008D2F1A" w:rsidRDefault="008D2F1A" w:rsidP="00AB3A7A">
            <w:r>
              <w:t>60</w:t>
            </w:r>
          </w:p>
        </w:tc>
        <w:tc>
          <w:tcPr>
            <w:tcW w:w="2017" w:type="dxa"/>
          </w:tcPr>
          <w:p w14:paraId="45346F48" w14:textId="7E812E77" w:rsidR="008D2F1A" w:rsidRDefault="008D2F1A" w:rsidP="00AB3A7A">
            <w:r>
              <w:t>30</w:t>
            </w:r>
          </w:p>
        </w:tc>
      </w:tr>
      <w:tr w:rsidR="008D2F1A" w14:paraId="7C7E9472" w14:textId="77777777" w:rsidTr="008D2F1A">
        <w:trPr>
          <w:trHeight w:val="340"/>
        </w:trPr>
        <w:tc>
          <w:tcPr>
            <w:tcW w:w="2301" w:type="dxa"/>
          </w:tcPr>
          <w:p w14:paraId="47ECC8FB" w14:textId="2A0AD579" w:rsidR="008D2F1A" w:rsidRDefault="008D2F1A" w:rsidP="008D2F1A">
            <w:pPr>
              <w:jc w:val="center"/>
            </w:pPr>
            <w:r>
              <w:t>(6)</w:t>
            </w:r>
          </w:p>
        </w:tc>
        <w:tc>
          <w:tcPr>
            <w:tcW w:w="2362" w:type="dxa"/>
          </w:tcPr>
          <w:p w14:paraId="61E7125C" w14:textId="3CE080B8" w:rsidR="008D2F1A" w:rsidRDefault="008D2F1A" w:rsidP="00AB3A7A">
            <w:r>
              <w:t>5</w:t>
            </w:r>
          </w:p>
        </w:tc>
        <w:tc>
          <w:tcPr>
            <w:tcW w:w="2336" w:type="dxa"/>
          </w:tcPr>
          <w:p w14:paraId="78B830B4" w14:textId="3C5ADFC6" w:rsidR="008D2F1A" w:rsidRDefault="008D2F1A" w:rsidP="00AB3A7A">
            <w:r>
              <w:t>95</w:t>
            </w:r>
          </w:p>
        </w:tc>
        <w:tc>
          <w:tcPr>
            <w:tcW w:w="2017" w:type="dxa"/>
          </w:tcPr>
          <w:p w14:paraId="4D316F10" w14:textId="18021EFC" w:rsidR="008D2F1A" w:rsidRDefault="008D2F1A" w:rsidP="00AB3A7A">
            <w:r>
              <w:t>0</w:t>
            </w:r>
          </w:p>
        </w:tc>
      </w:tr>
      <w:tr w:rsidR="008D2F1A" w14:paraId="3077F2AA" w14:textId="77777777" w:rsidTr="008D2F1A">
        <w:trPr>
          <w:trHeight w:val="340"/>
        </w:trPr>
        <w:tc>
          <w:tcPr>
            <w:tcW w:w="2301" w:type="dxa"/>
          </w:tcPr>
          <w:p w14:paraId="7952D2C7" w14:textId="04A5276C" w:rsidR="008D2F1A" w:rsidRDefault="008D2F1A" w:rsidP="008D2F1A">
            <w:pPr>
              <w:jc w:val="center"/>
            </w:pPr>
            <w:r>
              <w:t>(7)</w:t>
            </w:r>
          </w:p>
        </w:tc>
        <w:tc>
          <w:tcPr>
            <w:tcW w:w="2362" w:type="dxa"/>
          </w:tcPr>
          <w:p w14:paraId="796D075D" w14:textId="22F54627" w:rsidR="008D2F1A" w:rsidRDefault="008D2F1A" w:rsidP="00AB3A7A">
            <w:r>
              <w:t>95</w:t>
            </w:r>
          </w:p>
        </w:tc>
        <w:tc>
          <w:tcPr>
            <w:tcW w:w="2336" w:type="dxa"/>
          </w:tcPr>
          <w:p w14:paraId="66C06A5A" w14:textId="5469E211" w:rsidR="008D2F1A" w:rsidRDefault="00EF2880" w:rsidP="00AB3A7A">
            <w:r>
              <w:t>0</w:t>
            </w:r>
          </w:p>
        </w:tc>
        <w:tc>
          <w:tcPr>
            <w:tcW w:w="2017" w:type="dxa"/>
          </w:tcPr>
          <w:p w14:paraId="7EBCEA5D" w14:textId="46F3201A" w:rsidR="008D2F1A" w:rsidRDefault="00EF2880" w:rsidP="00AB3A7A">
            <w:r>
              <w:t>5</w:t>
            </w:r>
          </w:p>
        </w:tc>
      </w:tr>
    </w:tbl>
    <w:p w14:paraId="1B7FC4F3" w14:textId="01B5A327" w:rsidR="00EF2880" w:rsidRDefault="00EF2880" w:rsidP="00EF2880">
      <w:pPr>
        <w:pStyle w:val="Heading3"/>
      </w:pPr>
      <w:r>
        <w:t>Table A2 – Retrofitted Class 1a Dwellings (Silver Level)</w:t>
      </w:r>
    </w:p>
    <w:tbl>
      <w:tblPr>
        <w:tblStyle w:val="TableGrid"/>
        <w:tblW w:w="0" w:type="auto"/>
        <w:tblLook w:val="04A0" w:firstRow="1" w:lastRow="0" w:firstColumn="1" w:lastColumn="0" w:noHBand="0" w:noVBand="1"/>
        <w:tblCaption w:val="Table A2 - Retrofitted Class 1a Dwellings (Silver Level)"/>
        <w:tblDescription w:val="Table setting out sceanrio weightings for retrofitted Class 1a dwellings to LHDG Silver Level."/>
      </w:tblPr>
      <w:tblGrid>
        <w:gridCol w:w="2301"/>
        <w:gridCol w:w="2362"/>
        <w:gridCol w:w="2336"/>
        <w:gridCol w:w="2017"/>
      </w:tblGrid>
      <w:tr w:rsidR="00EF2880" w14:paraId="26081318" w14:textId="77777777" w:rsidTr="000D3298">
        <w:trPr>
          <w:tblHeader/>
        </w:trPr>
        <w:tc>
          <w:tcPr>
            <w:tcW w:w="2301" w:type="dxa"/>
            <w:shd w:val="clear" w:color="auto" w:fill="BFBFBF" w:themeFill="background1" w:themeFillShade="BF"/>
          </w:tcPr>
          <w:p w14:paraId="0FB36277" w14:textId="77777777" w:rsidR="00EF2880" w:rsidRPr="00163F60" w:rsidRDefault="00EF2880" w:rsidP="0085186E">
            <w:pPr>
              <w:rPr>
                <w:b/>
              </w:rPr>
            </w:pPr>
            <w:r>
              <w:rPr>
                <w:b/>
              </w:rPr>
              <w:t>Performance Requirement</w:t>
            </w:r>
          </w:p>
        </w:tc>
        <w:tc>
          <w:tcPr>
            <w:tcW w:w="2362" w:type="dxa"/>
            <w:shd w:val="clear" w:color="auto" w:fill="BFBFBF" w:themeFill="background1" w:themeFillShade="BF"/>
          </w:tcPr>
          <w:p w14:paraId="6FD52DF1" w14:textId="77777777" w:rsidR="00EF2880" w:rsidRDefault="00EF2880" w:rsidP="0085186E">
            <w:pPr>
              <w:jc w:val="left"/>
              <w:rPr>
                <w:b/>
              </w:rPr>
            </w:pPr>
            <w:r w:rsidRPr="00163F60">
              <w:rPr>
                <w:b/>
              </w:rPr>
              <w:t xml:space="preserve">Low Impact </w:t>
            </w:r>
          </w:p>
          <w:p w14:paraId="60507806" w14:textId="77777777" w:rsidR="00EF2880" w:rsidRPr="00163F60" w:rsidRDefault="00EF2880" w:rsidP="0085186E">
            <w:pPr>
              <w:jc w:val="left"/>
              <w:rPr>
                <w:b/>
              </w:rPr>
            </w:pPr>
            <w:r w:rsidRPr="00163F60">
              <w:rPr>
                <w:b/>
              </w:rPr>
              <w:t>(% of dwellings)</w:t>
            </w:r>
          </w:p>
        </w:tc>
        <w:tc>
          <w:tcPr>
            <w:tcW w:w="2336" w:type="dxa"/>
            <w:shd w:val="clear" w:color="auto" w:fill="BFBFBF" w:themeFill="background1" w:themeFillShade="BF"/>
          </w:tcPr>
          <w:p w14:paraId="0A197997" w14:textId="77777777" w:rsidR="00EF2880" w:rsidRDefault="00EF2880" w:rsidP="0085186E">
            <w:pPr>
              <w:jc w:val="left"/>
              <w:rPr>
                <w:b/>
              </w:rPr>
            </w:pPr>
            <w:r w:rsidRPr="00163F60">
              <w:rPr>
                <w:b/>
              </w:rPr>
              <w:t xml:space="preserve">Medium Impact </w:t>
            </w:r>
          </w:p>
          <w:p w14:paraId="0E5A4F8E" w14:textId="77777777" w:rsidR="00EF2880" w:rsidRPr="00163F60" w:rsidRDefault="00EF2880" w:rsidP="0085186E">
            <w:pPr>
              <w:jc w:val="left"/>
              <w:rPr>
                <w:b/>
              </w:rPr>
            </w:pPr>
            <w:r w:rsidRPr="00163F60">
              <w:rPr>
                <w:b/>
              </w:rPr>
              <w:t>(% of dwellings</w:t>
            </w:r>
            <w:r>
              <w:rPr>
                <w:b/>
              </w:rPr>
              <w:t>)</w:t>
            </w:r>
          </w:p>
        </w:tc>
        <w:tc>
          <w:tcPr>
            <w:tcW w:w="2017" w:type="dxa"/>
            <w:shd w:val="clear" w:color="auto" w:fill="BFBFBF" w:themeFill="background1" w:themeFillShade="BF"/>
          </w:tcPr>
          <w:p w14:paraId="39AAA8D1" w14:textId="77777777" w:rsidR="00EF2880" w:rsidRDefault="00EF2880" w:rsidP="0085186E">
            <w:pPr>
              <w:jc w:val="left"/>
              <w:rPr>
                <w:b/>
              </w:rPr>
            </w:pPr>
            <w:r w:rsidRPr="00163F60">
              <w:rPr>
                <w:b/>
              </w:rPr>
              <w:t xml:space="preserve">High Impact </w:t>
            </w:r>
          </w:p>
          <w:p w14:paraId="631B3689" w14:textId="77777777" w:rsidR="00EF2880" w:rsidRPr="00163F60" w:rsidRDefault="00EF2880" w:rsidP="0085186E">
            <w:pPr>
              <w:jc w:val="left"/>
              <w:rPr>
                <w:b/>
              </w:rPr>
            </w:pPr>
            <w:r w:rsidRPr="00163F60">
              <w:rPr>
                <w:b/>
              </w:rPr>
              <w:t>(% of Dwellings)</w:t>
            </w:r>
          </w:p>
        </w:tc>
      </w:tr>
      <w:tr w:rsidR="00EF2880" w14:paraId="525E1C1A" w14:textId="77777777" w:rsidTr="0085186E">
        <w:trPr>
          <w:trHeight w:val="340"/>
        </w:trPr>
        <w:tc>
          <w:tcPr>
            <w:tcW w:w="2301" w:type="dxa"/>
          </w:tcPr>
          <w:p w14:paraId="1ED133B9" w14:textId="77777777" w:rsidR="00EF2880" w:rsidRDefault="00EF2880" w:rsidP="0085186E">
            <w:pPr>
              <w:jc w:val="center"/>
            </w:pPr>
            <w:r>
              <w:t>(1)</w:t>
            </w:r>
          </w:p>
        </w:tc>
        <w:tc>
          <w:tcPr>
            <w:tcW w:w="2362" w:type="dxa"/>
          </w:tcPr>
          <w:p w14:paraId="5AB9F5EE" w14:textId="77777777" w:rsidR="00EF2880" w:rsidRDefault="00EF2880" w:rsidP="0085186E">
            <w:r>
              <w:t>25</w:t>
            </w:r>
          </w:p>
        </w:tc>
        <w:tc>
          <w:tcPr>
            <w:tcW w:w="2336" w:type="dxa"/>
          </w:tcPr>
          <w:p w14:paraId="2B1C8E5E" w14:textId="77777777" w:rsidR="00EF2880" w:rsidRDefault="00EF2880" w:rsidP="0085186E">
            <w:r>
              <w:t>55</w:t>
            </w:r>
          </w:p>
        </w:tc>
        <w:tc>
          <w:tcPr>
            <w:tcW w:w="2017" w:type="dxa"/>
          </w:tcPr>
          <w:p w14:paraId="018E7D00" w14:textId="77777777" w:rsidR="00EF2880" w:rsidRDefault="00EF2880" w:rsidP="0085186E">
            <w:r>
              <w:t>20</w:t>
            </w:r>
          </w:p>
        </w:tc>
      </w:tr>
      <w:tr w:rsidR="00EF2880" w14:paraId="0D37D435" w14:textId="77777777" w:rsidTr="0085186E">
        <w:trPr>
          <w:trHeight w:val="340"/>
        </w:trPr>
        <w:tc>
          <w:tcPr>
            <w:tcW w:w="2301" w:type="dxa"/>
          </w:tcPr>
          <w:p w14:paraId="7F68E6A3" w14:textId="77777777" w:rsidR="00EF2880" w:rsidRDefault="00EF2880" w:rsidP="0085186E">
            <w:pPr>
              <w:jc w:val="center"/>
            </w:pPr>
            <w:r>
              <w:t>(2)</w:t>
            </w:r>
          </w:p>
        </w:tc>
        <w:tc>
          <w:tcPr>
            <w:tcW w:w="2362" w:type="dxa"/>
          </w:tcPr>
          <w:p w14:paraId="7664F4AC" w14:textId="77777777" w:rsidR="00EF2880" w:rsidRDefault="00EF2880" w:rsidP="0085186E">
            <w:r>
              <w:t>20</w:t>
            </w:r>
          </w:p>
        </w:tc>
        <w:tc>
          <w:tcPr>
            <w:tcW w:w="2336" w:type="dxa"/>
          </w:tcPr>
          <w:p w14:paraId="1A0B5543" w14:textId="77777777" w:rsidR="00EF2880" w:rsidRDefault="00EF2880" w:rsidP="0085186E">
            <w:r>
              <w:t>40</w:t>
            </w:r>
          </w:p>
        </w:tc>
        <w:tc>
          <w:tcPr>
            <w:tcW w:w="2017" w:type="dxa"/>
          </w:tcPr>
          <w:p w14:paraId="3FD298AC" w14:textId="77777777" w:rsidR="00EF2880" w:rsidRDefault="00EF2880" w:rsidP="0085186E">
            <w:r>
              <w:t>40</w:t>
            </w:r>
          </w:p>
        </w:tc>
      </w:tr>
      <w:tr w:rsidR="00EF2880" w14:paraId="2A5DCDFE" w14:textId="77777777" w:rsidTr="0085186E">
        <w:trPr>
          <w:trHeight w:val="340"/>
        </w:trPr>
        <w:tc>
          <w:tcPr>
            <w:tcW w:w="2301" w:type="dxa"/>
          </w:tcPr>
          <w:p w14:paraId="31D4A0F0" w14:textId="77777777" w:rsidR="00EF2880" w:rsidRDefault="00EF2880" w:rsidP="0085186E">
            <w:pPr>
              <w:jc w:val="center"/>
            </w:pPr>
            <w:r>
              <w:t>(3)</w:t>
            </w:r>
          </w:p>
        </w:tc>
        <w:tc>
          <w:tcPr>
            <w:tcW w:w="2362" w:type="dxa"/>
          </w:tcPr>
          <w:p w14:paraId="452EED0E" w14:textId="77777777" w:rsidR="00EF2880" w:rsidRDefault="00EF2880" w:rsidP="0085186E">
            <w:r>
              <w:t>10</w:t>
            </w:r>
          </w:p>
        </w:tc>
        <w:tc>
          <w:tcPr>
            <w:tcW w:w="2336" w:type="dxa"/>
          </w:tcPr>
          <w:p w14:paraId="34491212" w14:textId="77777777" w:rsidR="00EF2880" w:rsidRDefault="00EF2880" w:rsidP="0085186E">
            <w:r>
              <w:t>60</w:t>
            </w:r>
          </w:p>
        </w:tc>
        <w:tc>
          <w:tcPr>
            <w:tcW w:w="2017" w:type="dxa"/>
          </w:tcPr>
          <w:p w14:paraId="72470A29" w14:textId="77777777" w:rsidR="00EF2880" w:rsidRDefault="00EF2880" w:rsidP="0085186E">
            <w:r>
              <w:t>30</w:t>
            </w:r>
          </w:p>
        </w:tc>
      </w:tr>
      <w:tr w:rsidR="00EF2880" w14:paraId="08523991" w14:textId="77777777" w:rsidTr="0085186E">
        <w:trPr>
          <w:trHeight w:val="340"/>
        </w:trPr>
        <w:tc>
          <w:tcPr>
            <w:tcW w:w="2301" w:type="dxa"/>
          </w:tcPr>
          <w:p w14:paraId="6BB44FEE" w14:textId="77777777" w:rsidR="00EF2880" w:rsidRDefault="00EF2880" w:rsidP="0085186E">
            <w:pPr>
              <w:jc w:val="center"/>
            </w:pPr>
            <w:r>
              <w:t>(4)</w:t>
            </w:r>
          </w:p>
        </w:tc>
        <w:tc>
          <w:tcPr>
            <w:tcW w:w="2362" w:type="dxa"/>
          </w:tcPr>
          <w:p w14:paraId="7F6B4250" w14:textId="77777777" w:rsidR="00EF2880" w:rsidRDefault="00EF2880" w:rsidP="0085186E">
            <w:r>
              <w:t>10</w:t>
            </w:r>
          </w:p>
        </w:tc>
        <w:tc>
          <w:tcPr>
            <w:tcW w:w="2336" w:type="dxa"/>
          </w:tcPr>
          <w:p w14:paraId="50DBE3C8" w14:textId="3FE540B4" w:rsidR="00EF2880" w:rsidRDefault="00EF2880" w:rsidP="0085186E">
            <w:r>
              <w:t>65</w:t>
            </w:r>
          </w:p>
        </w:tc>
        <w:tc>
          <w:tcPr>
            <w:tcW w:w="2017" w:type="dxa"/>
          </w:tcPr>
          <w:p w14:paraId="1EBE5F14" w14:textId="58F00046" w:rsidR="00EF2880" w:rsidRDefault="00EF2880" w:rsidP="0085186E">
            <w:r>
              <w:t>25</w:t>
            </w:r>
          </w:p>
        </w:tc>
      </w:tr>
      <w:tr w:rsidR="00EF2880" w14:paraId="22729222" w14:textId="77777777" w:rsidTr="0085186E">
        <w:trPr>
          <w:trHeight w:val="340"/>
        </w:trPr>
        <w:tc>
          <w:tcPr>
            <w:tcW w:w="2301" w:type="dxa"/>
          </w:tcPr>
          <w:p w14:paraId="55772519" w14:textId="77777777" w:rsidR="00EF2880" w:rsidRDefault="00EF2880" w:rsidP="0085186E">
            <w:pPr>
              <w:jc w:val="center"/>
            </w:pPr>
            <w:r>
              <w:t>(5)</w:t>
            </w:r>
          </w:p>
        </w:tc>
        <w:tc>
          <w:tcPr>
            <w:tcW w:w="2362" w:type="dxa"/>
          </w:tcPr>
          <w:p w14:paraId="56D71D7A" w14:textId="77777777" w:rsidR="00EF2880" w:rsidRDefault="00EF2880" w:rsidP="0085186E">
            <w:r>
              <w:t>10</w:t>
            </w:r>
          </w:p>
        </w:tc>
        <w:tc>
          <w:tcPr>
            <w:tcW w:w="2336" w:type="dxa"/>
          </w:tcPr>
          <w:p w14:paraId="1592B2A8" w14:textId="77777777" w:rsidR="00EF2880" w:rsidRDefault="00EF2880" w:rsidP="0085186E">
            <w:r>
              <w:t>60</w:t>
            </w:r>
          </w:p>
        </w:tc>
        <w:tc>
          <w:tcPr>
            <w:tcW w:w="2017" w:type="dxa"/>
          </w:tcPr>
          <w:p w14:paraId="37DC88A2" w14:textId="77777777" w:rsidR="00EF2880" w:rsidRDefault="00EF2880" w:rsidP="0085186E">
            <w:r>
              <w:t>30</w:t>
            </w:r>
          </w:p>
        </w:tc>
      </w:tr>
      <w:tr w:rsidR="00EF2880" w14:paraId="59696B14" w14:textId="77777777" w:rsidTr="0085186E">
        <w:trPr>
          <w:trHeight w:val="340"/>
        </w:trPr>
        <w:tc>
          <w:tcPr>
            <w:tcW w:w="2301" w:type="dxa"/>
          </w:tcPr>
          <w:p w14:paraId="205CEFAE" w14:textId="77777777" w:rsidR="00EF2880" w:rsidRDefault="00EF2880" w:rsidP="0085186E">
            <w:pPr>
              <w:jc w:val="center"/>
            </w:pPr>
            <w:r>
              <w:t>(6)</w:t>
            </w:r>
          </w:p>
        </w:tc>
        <w:tc>
          <w:tcPr>
            <w:tcW w:w="2362" w:type="dxa"/>
          </w:tcPr>
          <w:p w14:paraId="2863AB12" w14:textId="77777777" w:rsidR="00EF2880" w:rsidRDefault="00EF2880" w:rsidP="0085186E">
            <w:r>
              <w:t>5</w:t>
            </w:r>
          </w:p>
        </w:tc>
        <w:tc>
          <w:tcPr>
            <w:tcW w:w="2336" w:type="dxa"/>
          </w:tcPr>
          <w:p w14:paraId="12A6A89C" w14:textId="37533BB1" w:rsidR="00EF2880" w:rsidRDefault="00EF2880" w:rsidP="0085186E">
            <w:r>
              <w:t>0</w:t>
            </w:r>
          </w:p>
        </w:tc>
        <w:tc>
          <w:tcPr>
            <w:tcW w:w="2017" w:type="dxa"/>
          </w:tcPr>
          <w:p w14:paraId="1E9F1EB3" w14:textId="6CF48EDC" w:rsidR="00EF2880" w:rsidRDefault="00EF2880" w:rsidP="0085186E">
            <w:r>
              <w:t>95</w:t>
            </w:r>
          </w:p>
        </w:tc>
      </w:tr>
      <w:tr w:rsidR="00EF2880" w14:paraId="30BB2D36" w14:textId="77777777" w:rsidTr="0085186E">
        <w:trPr>
          <w:trHeight w:val="340"/>
        </w:trPr>
        <w:tc>
          <w:tcPr>
            <w:tcW w:w="2301" w:type="dxa"/>
          </w:tcPr>
          <w:p w14:paraId="3C3DC4FE" w14:textId="77777777" w:rsidR="00EF2880" w:rsidRDefault="00EF2880" w:rsidP="0085186E">
            <w:pPr>
              <w:jc w:val="center"/>
            </w:pPr>
            <w:r>
              <w:t>(7)</w:t>
            </w:r>
          </w:p>
        </w:tc>
        <w:tc>
          <w:tcPr>
            <w:tcW w:w="2362" w:type="dxa"/>
          </w:tcPr>
          <w:p w14:paraId="28BB1F3D" w14:textId="77777777" w:rsidR="00EF2880" w:rsidRDefault="00EF2880" w:rsidP="0085186E">
            <w:r>
              <w:t>95</w:t>
            </w:r>
          </w:p>
        </w:tc>
        <w:tc>
          <w:tcPr>
            <w:tcW w:w="2336" w:type="dxa"/>
          </w:tcPr>
          <w:p w14:paraId="2DAA2E45" w14:textId="77777777" w:rsidR="00EF2880" w:rsidRDefault="00EF2880" w:rsidP="0085186E">
            <w:r>
              <w:t>0</w:t>
            </w:r>
          </w:p>
        </w:tc>
        <w:tc>
          <w:tcPr>
            <w:tcW w:w="2017" w:type="dxa"/>
          </w:tcPr>
          <w:p w14:paraId="74BDCF00" w14:textId="77777777" w:rsidR="00EF2880" w:rsidRDefault="00EF2880" w:rsidP="0085186E">
            <w:r>
              <w:t>5</w:t>
            </w:r>
          </w:p>
        </w:tc>
      </w:tr>
    </w:tbl>
    <w:p w14:paraId="0FA47F9C" w14:textId="77777777" w:rsidR="00AB3A7A" w:rsidRPr="00AB3A7A" w:rsidRDefault="00AB3A7A" w:rsidP="00AB3A7A"/>
    <w:p w14:paraId="2C2AA24D" w14:textId="067AD0F5" w:rsidR="003540B9" w:rsidRDefault="003540B9" w:rsidP="003540B9">
      <w:pPr>
        <w:pStyle w:val="Heading3"/>
      </w:pPr>
      <w:r>
        <w:t>Table A</w:t>
      </w:r>
      <w:r w:rsidR="00EF2880">
        <w:t>3</w:t>
      </w:r>
      <w:r>
        <w:t xml:space="preserve"> – </w:t>
      </w:r>
      <w:r w:rsidR="00EF2880">
        <w:t xml:space="preserve">New </w:t>
      </w:r>
      <w:r>
        <w:t>Class 2 Apartments (Silver Level)</w:t>
      </w:r>
    </w:p>
    <w:tbl>
      <w:tblPr>
        <w:tblStyle w:val="TableGrid"/>
        <w:tblW w:w="0" w:type="auto"/>
        <w:tblLook w:val="04A0" w:firstRow="1" w:lastRow="0" w:firstColumn="1" w:lastColumn="0" w:noHBand="0" w:noVBand="1"/>
        <w:tblCaption w:val="Table A3 - New Class 2 Apartments (Silver Level)"/>
        <w:tblDescription w:val="Table setting out scenario weightings for new Class 2 Apartments to LHDG Silver Level."/>
      </w:tblPr>
      <w:tblGrid>
        <w:gridCol w:w="2301"/>
        <w:gridCol w:w="2362"/>
        <w:gridCol w:w="2336"/>
        <w:gridCol w:w="2017"/>
      </w:tblGrid>
      <w:tr w:rsidR="003540B9" w14:paraId="3F5A3DA2" w14:textId="77777777" w:rsidTr="000D3298">
        <w:trPr>
          <w:tblHeader/>
        </w:trPr>
        <w:tc>
          <w:tcPr>
            <w:tcW w:w="2301" w:type="dxa"/>
            <w:shd w:val="clear" w:color="auto" w:fill="BFBFBF" w:themeFill="background1" w:themeFillShade="BF"/>
          </w:tcPr>
          <w:p w14:paraId="7AA123A9" w14:textId="77777777" w:rsidR="003540B9" w:rsidRPr="00163F60" w:rsidRDefault="003540B9" w:rsidP="000D5240">
            <w:pPr>
              <w:rPr>
                <w:b/>
              </w:rPr>
            </w:pPr>
            <w:r>
              <w:rPr>
                <w:b/>
              </w:rPr>
              <w:t>Performance Requirement</w:t>
            </w:r>
          </w:p>
        </w:tc>
        <w:tc>
          <w:tcPr>
            <w:tcW w:w="2362" w:type="dxa"/>
            <w:shd w:val="clear" w:color="auto" w:fill="BFBFBF" w:themeFill="background1" w:themeFillShade="BF"/>
          </w:tcPr>
          <w:p w14:paraId="12E1F35F" w14:textId="77777777" w:rsidR="003540B9" w:rsidRDefault="003540B9" w:rsidP="000D5240">
            <w:pPr>
              <w:jc w:val="left"/>
              <w:rPr>
                <w:b/>
              </w:rPr>
            </w:pPr>
            <w:r w:rsidRPr="00163F60">
              <w:rPr>
                <w:b/>
              </w:rPr>
              <w:t xml:space="preserve">Low Impact </w:t>
            </w:r>
          </w:p>
          <w:p w14:paraId="0142496D" w14:textId="77777777" w:rsidR="003540B9" w:rsidRPr="00163F60" w:rsidRDefault="003540B9" w:rsidP="000D5240">
            <w:pPr>
              <w:jc w:val="left"/>
              <w:rPr>
                <w:b/>
              </w:rPr>
            </w:pPr>
            <w:r w:rsidRPr="00163F60">
              <w:rPr>
                <w:b/>
              </w:rPr>
              <w:t>(% of dwellings)</w:t>
            </w:r>
          </w:p>
        </w:tc>
        <w:tc>
          <w:tcPr>
            <w:tcW w:w="2336" w:type="dxa"/>
            <w:shd w:val="clear" w:color="auto" w:fill="BFBFBF" w:themeFill="background1" w:themeFillShade="BF"/>
          </w:tcPr>
          <w:p w14:paraId="670779C4" w14:textId="77777777" w:rsidR="003540B9" w:rsidRDefault="003540B9" w:rsidP="000D5240">
            <w:pPr>
              <w:jc w:val="left"/>
              <w:rPr>
                <w:b/>
              </w:rPr>
            </w:pPr>
            <w:r w:rsidRPr="00163F60">
              <w:rPr>
                <w:b/>
              </w:rPr>
              <w:t xml:space="preserve">Medium Impact </w:t>
            </w:r>
          </w:p>
          <w:p w14:paraId="24D743A0" w14:textId="4DF70716" w:rsidR="003540B9" w:rsidRPr="00163F60" w:rsidRDefault="003540B9" w:rsidP="000D5240">
            <w:pPr>
              <w:jc w:val="left"/>
              <w:rPr>
                <w:b/>
              </w:rPr>
            </w:pPr>
            <w:r w:rsidRPr="00163F60">
              <w:rPr>
                <w:b/>
              </w:rPr>
              <w:t>(% of dwellings</w:t>
            </w:r>
            <w:r w:rsidR="000345E6">
              <w:rPr>
                <w:b/>
              </w:rPr>
              <w:t>)</w:t>
            </w:r>
          </w:p>
        </w:tc>
        <w:tc>
          <w:tcPr>
            <w:tcW w:w="2017" w:type="dxa"/>
            <w:shd w:val="clear" w:color="auto" w:fill="BFBFBF" w:themeFill="background1" w:themeFillShade="BF"/>
          </w:tcPr>
          <w:p w14:paraId="714A13E2" w14:textId="77777777" w:rsidR="003540B9" w:rsidRDefault="003540B9" w:rsidP="000D5240">
            <w:pPr>
              <w:jc w:val="left"/>
              <w:rPr>
                <w:b/>
              </w:rPr>
            </w:pPr>
            <w:r w:rsidRPr="00163F60">
              <w:rPr>
                <w:b/>
              </w:rPr>
              <w:t xml:space="preserve">High Impact </w:t>
            </w:r>
          </w:p>
          <w:p w14:paraId="41E9BF3C" w14:textId="77777777" w:rsidR="003540B9" w:rsidRPr="00163F60" w:rsidRDefault="003540B9" w:rsidP="000D5240">
            <w:pPr>
              <w:jc w:val="left"/>
              <w:rPr>
                <w:b/>
              </w:rPr>
            </w:pPr>
            <w:r w:rsidRPr="00163F60">
              <w:rPr>
                <w:b/>
              </w:rPr>
              <w:t>(% of Dwellings)</w:t>
            </w:r>
          </w:p>
        </w:tc>
      </w:tr>
      <w:tr w:rsidR="003540B9" w14:paraId="54B8662A" w14:textId="77777777" w:rsidTr="000D5240">
        <w:trPr>
          <w:trHeight w:val="340"/>
        </w:trPr>
        <w:tc>
          <w:tcPr>
            <w:tcW w:w="2301" w:type="dxa"/>
          </w:tcPr>
          <w:p w14:paraId="03FB4BB8" w14:textId="77777777" w:rsidR="003540B9" w:rsidRDefault="003540B9" w:rsidP="000D5240">
            <w:pPr>
              <w:jc w:val="center"/>
            </w:pPr>
            <w:r>
              <w:t>(1)</w:t>
            </w:r>
          </w:p>
        </w:tc>
        <w:tc>
          <w:tcPr>
            <w:tcW w:w="2362" w:type="dxa"/>
          </w:tcPr>
          <w:p w14:paraId="5A94797B" w14:textId="4B5BEC9D" w:rsidR="003540B9" w:rsidRDefault="003540B9" w:rsidP="000D5240">
            <w:r>
              <w:t>30</w:t>
            </w:r>
          </w:p>
        </w:tc>
        <w:tc>
          <w:tcPr>
            <w:tcW w:w="2336" w:type="dxa"/>
          </w:tcPr>
          <w:p w14:paraId="0D0540E6" w14:textId="20910E44" w:rsidR="003540B9" w:rsidRDefault="003540B9" w:rsidP="000D5240">
            <w:r>
              <w:t>40</w:t>
            </w:r>
          </w:p>
        </w:tc>
        <w:tc>
          <w:tcPr>
            <w:tcW w:w="2017" w:type="dxa"/>
          </w:tcPr>
          <w:p w14:paraId="1D976989" w14:textId="77DD0843" w:rsidR="003540B9" w:rsidRDefault="003540B9" w:rsidP="000D5240">
            <w:r>
              <w:t>30</w:t>
            </w:r>
          </w:p>
        </w:tc>
      </w:tr>
      <w:tr w:rsidR="003540B9" w14:paraId="741BF8EF" w14:textId="77777777" w:rsidTr="000D5240">
        <w:trPr>
          <w:trHeight w:val="340"/>
        </w:trPr>
        <w:tc>
          <w:tcPr>
            <w:tcW w:w="2301" w:type="dxa"/>
          </w:tcPr>
          <w:p w14:paraId="41343858" w14:textId="77777777" w:rsidR="003540B9" w:rsidRDefault="003540B9" w:rsidP="000D5240">
            <w:pPr>
              <w:jc w:val="center"/>
            </w:pPr>
            <w:r>
              <w:t>(2)</w:t>
            </w:r>
          </w:p>
        </w:tc>
        <w:tc>
          <w:tcPr>
            <w:tcW w:w="2362" w:type="dxa"/>
          </w:tcPr>
          <w:p w14:paraId="0B624EB4" w14:textId="7592F011" w:rsidR="003540B9" w:rsidRDefault="003540B9" w:rsidP="000D5240">
            <w:r>
              <w:t>30</w:t>
            </w:r>
          </w:p>
        </w:tc>
        <w:tc>
          <w:tcPr>
            <w:tcW w:w="2336" w:type="dxa"/>
          </w:tcPr>
          <w:p w14:paraId="557214D9" w14:textId="0AB6CE94" w:rsidR="003540B9" w:rsidRDefault="003540B9" w:rsidP="000D5240">
            <w:r>
              <w:t>0</w:t>
            </w:r>
          </w:p>
        </w:tc>
        <w:tc>
          <w:tcPr>
            <w:tcW w:w="2017" w:type="dxa"/>
          </w:tcPr>
          <w:p w14:paraId="1496B149" w14:textId="541274EE" w:rsidR="003540B9" w:rsidRDefault="00EF2880" w:rsidP="000D5240">
            <w:r>
              <w:t>7</w:t>
            </w:r>
            <w:r w:rsidR="003540B9">
              <w:t>0</w:t>
            </w:r>
          </w:p>
        </w:tc>
      </w:tr>
      <w:tr w:rsidR="003540B9" w14:paraId="5525730D" w14:textId="77777777" w:rsidTr="000D5240">
        <w:trPr>
          <w:trHeight w:val="340"/>
        </w:trPr>
        <w:tc>
          <w:tcPr>
            <w:tcW w:w="2301" w:type="dxa"/>
          </w:tcPr>
          <w:p w14:paraId="7029EA99" w14:textId="77777777" w:rsidR="003540B9" w:rsidRDefault="003540B9" w:rsidP="000D5240">
            <w:pPr>
              <w:jc w:val="center"/>
            </w:pPr>
            <w:r>
              <w:t>(3)</w:t>
            </w:r>
          </w:p>
        </w:tc>
        <w:tc>
          <w:tcPr>
            <w:tcW w:w="2362" w:type="dxa"/>
          </w:tcPr>
          <w:p w14:paraId="1319E081" w14:textId="4BD2ED46" w:rsidR="003540B9" w:rsidRDefault="003540B9" w:rsidP="000D5240">
            <w:r>
              <w:t>30</w:t>
            </w:r>
          </w:p>
        </w:tc>
        <w:tc>
          <w:tcPr>
            <w:tcW w:w="2336" w:type="dxa"/>
          </w:tcPr>
          <w:p w14:paraId="62C65E26" w14:textId="75E5864B" w:rsidR="003540B9" w:rsidRDefault="003540B9" w:rsidP="000D5240">
            <w:r>
              <w:t>20</w:t>
            </w:r>
          </w:p>
        </w:tc>
        <w:tc>
          <w:tcPr>
            <w:tcW w:w="2017" w:type="dxa"/>
          </w:tcPr>
          <w:p w14:paraId="6F16B4DD" w14:textId="015DF2B8" w:rsidR="003540B9" w:rsidRDefault="003540B9" w:rsidP="000D5240">
            <w:r>
              <w:t>50</w:t>
            </w:r>
          </w:p>
        </w:tc>
      </w:tr>
      <w:tr w:rsidR="003540B9" w14:paraId="6F396F50" w14:textId="77777777" w:rsidTr="000D5240">
        <w:trPr>
          <w:trHeight w:val="340"/>
        </w:trPr>
        <w:tc>
          <w:tcPr>
            <w:tcW w:w="2301" w:type="dxa"/>
          </w:tcPr>
          <w:p w14:paraId="18BBA1CD" w14:textId="77777777" w:rsidR="003540B9" w:rsidRDefault="003540B9" w:rsidP="000D5240">
            <w:pPr>
              <w:jc w:val="center"/>
            </w:pPr>
            <w:r>
              <w:t>(4)</w:t>
            </w:r>
          </w:p>
        </w:tc>
        <w:tc>
          <w:tcPr>
            <w:tcW w:w="2362" w:type="dxa"/>
          </w:tcPr>
          <w:p w14:paraId="713AF469" w14:textId="0C353FE8" w:rsidR="003540B9" w:rsidRDefault="003540B9" w:rsidP="000D5240">
            <w:r>
              <w:t>30</w:t>
            </w:r>
          </w:p>
        </w:tc>
        <w:tc>
          <w:tcPr>
            <w:tcW w:w="2336" w:type="dxa"/>
          </w:tcPr>
          <w:p w14:paraId="7DBF5029" w14:textId="71E1708F" w:rsidR="003540B9" w:rsidRDefault="003540B9" w:rsidP="000D5240">
            <w:r>
              <w:t>65</w:t>
            </w:r>
          </w:p>
        </w:tc>
        <w:tc>
          <w:tcPr>
            <w:tcW w:w="2017" w:type="dxa"/>
          </w:tcPr>
          <w:p w14:paraId="2F732404" w14:textId="70A81C03" w:rsidR="003540B9" w:rsidRDefault="003540B9" w:rsidP="000D5240">
            <w:r>
              <w:t>5</w:t>
            </w:r>
          </w:p>
        </w:tc>
      </w:tr>
      <w:tr w:rsidR="003540B9" w14:paraId="1BB847C9" w14:textId="77777777" w:rsidTr="000D5240">
        <w:trPr>
          <w:trHeight w:val="340"/>
        </w:trPr>
        <w:tc>
          <w:tcPr>
            <w:tcW w:w="2301" w:type="dxa"/>
          </w:tcPr>
          <w:p w14:paraId="0970434E" w14:textId="77777777" w:rsidR="003540B9" w:rsidRDefault="003540B9" w:rsidP="000D5240">
            <w:pPr>
              <w:jc w:val="center"/>
            </w:pPr>
            <w:r>
              <w:t>(5)</w:t>
            </w:r>
          </w:p>
        </w:tc>
        <w:tc>
          <w:tcPr>
            <w:tcW w:w="2362" w:type="dxa"/>
          </w:tcPr>
          <w:p w14:paraId="32D2C8E6" w14:textId="7C47A3A2" w:rsidR="003540B9" w:rsidRDefault="003540B9" w:rsidP="000D5240">
            <w:r>
              <w:t>30</w:t>
            </w:r>
          </w:p>
        </w:tc>
        <w:tc>
          <w:tcPr>
            <w:tcW w:w="2336" w:type="dxa"/>
          </w:tcPr>
          <w:p w14:paraId="5B71F6EB" w14:textId="635D8A7D" w:rsidR="003540B9" w:rsidRDefault="003540B9" w:rsidP="000D5240">
            <w:r>
              <w:t>60</w:t>
            </w:r>
          </w:p>
        </w:tc>
        <w:tc>
          <w:tcPr>
            <w:tcW w:w="2017" w:type="dxa"/>
          </w:tcPr>
          <w:p w14:paraId="3E1A8DA2" w14:textId="1696DB5E" w:rsidR="003540B9" w:rsidRDefault="003540B9" w:rsidP="000D5240">
            <w:r>
              <w:t>10</w:t>
            </w:r>
          </w:p>
        </w:tc>
      </w:tr>
      <w:tr w:rsidR="003540B9" w14:paraId="38BA833B" w14:textId="77777777" w:rsidTr="000D5240">
        <w:trPr>
          <w:trHeight w:val="340"/>
        </w:trPr>
        <w:tc>
          <w:tcPr>
            <w:tcW w:w="2301" w:type="dxa"/>
          </w:tcPr>
          <w:p w14:paraId="07A6ABE3" w14:textId="77777777" w:rsidR="003540B9" w:rsidRDefault="003540B9" w:rsidP="000D5240">
            <w:pPr>
              <w:jc w:val="center"/>
            </w:pPr>
            <w:r>
              <w:t>(6)</w:t>
            </w:r>
          </w:p>
        </w:tc>
        <w:tc>
          <w:tcPr>
            <w:tcW w:w="2362" w:type="dxa"/>
          </w:tcPr>
          <w:p w14:paraId="201CC9FB" w14:textId="346A6596" w:rsidR="003540B9" w:rsidRDefault="003540B9" w:rsidP="000D5240">
            <w:r>
              <w:t>30</w:t>
            </w:r>
          </w:p>
        </w:tc>
        <w:tc>
          <w:tcPr>
            <w:tcW w:w="2336" w:type="dxa"/>
          </w:tcPr>
          <w:p w14:paraId="0B7D6399" w14:textId="647F50F5" w:rsidR="003540B9" w:rsidRDefault="003540B9" w:rsidP="000D5240">
            <w:r>
              <w:t>0</w:t>
            </w:r>
          </w:p>
        </w:tc>
        <w:tc>
          <w:tcPr>
            <w:tcW w:w="2017" w:type="dxa"/>
          </w:tcPr>
          <w:p w14:paraId="6462AE03" w14:textId="2699B9C6" w:rsidR="003540B9" w:rsidRDefault="00EF2880" w:rsidP="000D5240">
            <w:r>
              <w:t>7</w:t>
            </w:r>
            <w:r w:rsidR="003540B9">
              <w:t>0</w:t>
            </w:r>
          </w:p>
        </w:tc>
      </w:tr>
      <w:tr w:rsidR="003540B9" w14:paraId="678AFEF7" w14:textId="77777777" w:rsidTr="000D5240">
        <w:trPr>
          <w:trHeight w:val="340"/>
        </w:trPr>
        <w:tc>
          <w:tcPr>
            <w:tcW w:w="2301" w:type="dxa"/>
          </w:tcPr>
          <w:p w14:paraId="6649359D" w14:textId="77777777" w:rsidR="003540B9" w:rsidRDefault="003540B9" w:rsidP="000D5240">
            <w:pPr>
              <w:jc w:val="center"/>
            </w:pPr>
            <w:r>
              <w:t>(7)</w:t>
            </w:r>
          </w:p>
        </w:tc>
        <w:tc>
          <w:tcPr>
            <w:tcW w:w="2362" w:type="dxa"/>
          </w:tcPr>
          <w:p w14:paraId="219AB74E" w14:textId="595F6DD3" w:rsidR="003540B9" w:rsidRDefault="00ED3C8E" w:rsidP="000D5240">
            <w:r>
              <w:t>90</w:t>
            </w:r>
          </w:p>
        </w:tc>
        <w:tc>
          <w:tcPr>
            <w:tcW w:w="2336" w:type="dxa"/>
          </w:tcPr>
          <w:p w14:paraId="4776FB0F" w14:textId="0306D3B6" w:rsidR="003540B9" w:rsidRDefault="00ED3C8E" w:rsidP="000D5240">
            <w:r>
              <w:t>0</w:t>
            </w:r>
          </w:p>
        </w:tc>
        <w:tc>
          <w:tcPr>
            <w:tcW w:w="2017" w:type="dxa"/>
          </w:tcPr>
          <w:p w14:paraId="3A8A527B" w14:textId="65175E09" w:rsidR="003540B9" w:rsidRDefault="00EF2880" w:rsidP="000D5240">
            <w:r>
              <w:t>1</w:t>
            </w:r>
            <w:r w:rsidR="00ED3C8E">
              <w:t>0</w:t>
            </w:r>
          </w:p>
        </w:tc>
      </w:tr>
    </w:tbl>
    <w:p w14:paraId="3029DD18" w14:textId="5AD5B5FF" w:rsidR="00EF2880" w:rsidRDefault="00EF2880" w:rsidP="00EF2880">
      <w:pPr>
        <w:pStyle w:val="Heading3"/>
      </w:pPr>
      <w:r>
        <w:t>Table A4 – Retrofitted Class 2 Apartments (Silver Level)</w:t>
      </w:r>
    </w:p>
    <w:tbl>
      <w:tblPr>
        <w:tblStyle w:val="TableGrid"/>
        <w:tblW w:w="0" w:type="auto"/>
        <w:tblLook w:val="04A0" w:firstRow="1" w:lastRow="0" w:firstColumn="1" w:lastColumn="0" w:noHBand="0" w:noVBand="1"/>
        <w:tblCaption w:val="Table A4 - Retrofitted Class 2 Apartments (Silver Level)"/>
        <w:tblDescription w:val="Table setting out scenario weighting for retrofitting Class 2 apartments to LHDG Silver Level."/>
      </w:tblPr>
      <w:tblGrid>
        <w:gridCol w:w="2301"/>
        <w:gridCol w:w="2362"/>
        <w:gridCol w:w="2336"/>
        <w:gridCol w:w="2017"/>
      </w:tblGrid>
      <w:tr w:rsidR="00EF2880" w14:paraId="080D3135" w14:textId="77777777" w:rsidTr="000D3298">
        <w:trPr>
          <w:tblHeader/>
        </w:trPr>
        <w:tc>
          <w:tcPr>
            <w:tcW w:w="2301" w:type="dxa"/>
            <w:shd w:val="clear" w:color="auto" w:fill="BFBFBF" w:themeFill="background1" w:themeFillShade="BF"/>
          </w:tcPr>
          <w:p w14:paraId="5113A920" w14:textId="77777777" w:rsidR="00EF2880" w:rsidRPr="00163F60" w:rsidRDefault="00EF2880" w:rsidP="0085186E">
            <w:pPr>
              <w:rPr>
                <w:b/>
              </w:rPr>
            </w:pPr>
            <w:r>
              <w:rPr>
                <w:b/>
              </w:rPr>
              <w:t>Performance Requirement</w:t>
            </w:r>
          </w:p>
        </w:tc>
        <w:tc>
          <w:tcPr>
            <w:tcW w:w="2362" w:type="dxa"/>
            <w:shd w:val="clear" w:color="auto" w:fill="BFBFBF" w:themeFill="background1" w:themeFillShade="BF"/>
          </w:tcPr>
          <w:p w14:paraId="7A4C0E6F" w14:textId="77777777" w:rsidR="00EF2880" w:rsidRDefault="00EF2880" w:rsidP="0085186E">
            <w:pPr>
              <w:jc w:val="left"/>
              <w:rPr>
                <w:b/>
              </w:rPr>
            </w:pPr>
            <w:r w:rsidRPr="00163F60">
              <w:rPr>
                <w:b/>
              </w:rPr>
              <w:t xml:space="preserve">Low Impact </w:t>
            </w:r>
          </w:p>
          <w:p w14:paraId="52D2A20C" w14:textId="77777777" w:rsidR="00EF2880" w:rsidRPr="00163F60" w:rsidRDefault="00EF2880" w:rsidP="0085186E">
            <w:pPr>
              <w:jc w:val="left"/>
              <w:rPr>
                <w:b/>
              </w:rPr>
            </w:pPr>
            <w:r w:rsidRPr="00163F60">
              <w:rPr>
                <w:b/>
              </w:rPr>
              <w:t>(% of dwellings)</w:t>
            </w:r>
          </w:p>
        </w:tc>
        <w:tc>
          <w:tcPr>
            <w:tcW w:w="2336" w:type="dxa"/>
            <w:shd w:val="clear" w:color="auto" w:fill="BFBFBF" w:themeFill="background1" w:themeFillShade="BF"/>
          </w:tcPr>
          <w:p w14:paraId="759F8B96" w14:textId="77777777" w:rsidR="00EF2880" w:rsidRDefault="00EF2880" w:rsidP="0085186E">
            <w:pPr>
              <w:jc w:val="left"/>
              <w:rPr>
                <w:b/>
              </w:rPr>
            </w:pPr>
            <w:r w:rsidRPr="00163F60">
              <w:rPr>
                <w:b/>
              </w:rPr>
              <w:t xml:space="preserve">Medium Impact </w:t>
            </w:r>
          </w:p>
          <w:p w14:paraId="04BAE28C" w14:textId="5D66DB46" w:rsidR="00EF2880" w:rsidRPr="00163F60" w:rsidRDefault="00EF2880" w:rsidP="0085186E">
            <w:pPr>
              <w:jc w:val="left"/>
              <w:rPr>
                <w:b/>
              </w:rPr>
            </w:pPr>
            <w:r w:rsidRPr="00163F60">
              <w:rPr>
                <w:b/>
              </w:rPr>
              <w:t>(% of dwellings</w:t>
            </w:r>
            <w:r w:rsidR="000345E6">
              <w:rPr>
                <w:b/>
              </w:rPr>
              <w:t>)</w:t>
            </w:r>
          </w:p>
        </w:tc>
        <w:tc>
          <w:tcPr>
            <w:tcW w:w="2017" w:type="dxa"/>
            <w:shd w:val="clear" w:color="auto" w:fill="BFBFBF" w:themeFill="background1" w:themeFillShade="BF"/>
          </w:tcPr>
          <w:p w14:paraId="1091BB73" w14:textId="77777777" w:rsidR="00EF2880" w:rsidRDefault="00EF2880" w:rsidP="0085186E">
            <w:pPr>
              <w:jc w:val="left"/>
              <w:rPr>
                <w:b/>
              </w:rPr>
            </w:pPr>
            <w:r w:rsidRPr="00163F60">
              <w:rPr>
                <w:b/>
              </w:rPr>
              <w:t xml:space="preserve">High Impact </w:t>
            </w:r>
          </w:p>
          <w:p w14:paraId="41D0F329" w14:textId="77777777" w:rsidR="00EF2880" w:rsidRPr="00163F60" w:rsidRDefault="00EF2880" w:rsidP="0085186E">
            <w:pPr>
              <w:jc w:val="left"/>
              <w:rPr>
                <w:b/>
              </w:rPr>
            </w:pPr>
            <w:r w:rsidRPr="00163F60">
              <w:rPr>
                <w:b/>
              </w:rPr>
              <w:t>(% of Dwellings)</w:t>
            </w:r>
          </w:p>
        </w:tc>
      </w:tr>
      <w:tr w:rsidR="00EF2880" w14:paraId="23766194" w14:textId="77777777" w:rsidTr="0085186E">
        <w:trPr>
          <w:trHeight w:val="340"/>
        </w:trPr>
        <w:tc>
          <w:tcPr>
            <w:tcW w:w="2301" w:type="dxa"/>
          </w:tcPr>
          <w:p w14:paraId="7D257267" w14:textId="77777777" w:rsidR="00EF2880" w:rsidRDefault="00EF2880" w:rsidP="0085186E">
            <w:pPr>
              <w:jc w:val="center"/>
            </w:pPr>
            <w:r>
              <w:t>(1)</w:t>
            </w:r>
          </w:p>
        </w:tc>
        <w:tc>
          <w:tcPr>
            <w:tcW w:w="2362" w:type="dxa"/>
          </w:tcPr>
          <w:p w14:paraId="20A2C372" w14:textId="77777777" w:rsidR="00EF2880" w:rsidRDefault="00EF2880" w:rsidP="0085186E">
            <w:r>
              <w:t>30</w:t>
            </w:r>
          </w:p>
        </w:tc>
        <w:tc>
          <w:tcPr>
            <w:tcW w:w="2336" w:type="dxa"/>
          </w:tcPr>
          <w:p w14:paraId="1F30A0CB" w14:textId="77777777" w:rsidR="00EF2880" w:rsidRDefault="00EF2880" w:rsidP="0085186E">
            <w:r>
              <w:t>40</w:t>
            </w:r>
          </w:p>
        </w:tc>
        <w:tc>
          <w:tcPr>
            <w:tcW w:w="2017" w:type="dxa"/>
          </w:tcPr>
          <w:p w14:paraId="27953DF3" w14:textId="77777777" w:rsidR="00EF2880" w:rsidRDefault="00EF2880" w:rsidP="0085186E">
            <w:r>
              <w:t>30</w:t>
            </w:r>
          </w:p>
        </w:tc>
      </w:tr>
      <w:tr w:rsidR="00EF2880" w14:paraId="6500C22F" w14:textId="77777777" w:rsidTr="0085186E">
        <w:trPr>
          <w:trHeight w:val="340"/>
        </w:trPr>
        <w:tc>
          <w:tcPr>
            <w:tcW w:w="2301" w:type="dxa"/>
          </w:tcPr>
          <w:p w14:paraId="0F8A3D7D" w14:textId="77777777" w:rsidR="00EF2880" w:rsidRDefault="00EF2880" w:rsidP="0085186E">
            <w:pPr>
              <w:jc w:val="center"/>
            </w:pPr>
            <w:r>
              <w:t>(2)</w:t>
            </w:r>
          </w:p>
        </w:tc>
        <w:tc>
          <w:tcPr>
            <w:tcW w:w="2362" w:type="dxa"/>
          </w:tcPr>
          <w:p w14:paraId="4565AC44" w14:textId="77777777" w:rsidR="00EF2880" w:rsidRDefault="00EF2880" w:rsidP="0085186E">
            <w:r>
              <w:t>30</w:t>
            </w:r>
          </w:p>
        </w:tc>
        <w:tc>
          <w:tcPr>
            <w:tcW w:w="2336" w:type="dxa"/>
          </w:tcPr>
          <w:p w14:paraId="688E8DF5" w14:textId="77777777" w:rsidR="00EF2880" w:rsidRDefault="00EF2880" w:rsidP="0085186E">
            <w:r>
              <w:t>0</w:t>
            </w:r>
          </w:p>
        </w:tc>
        <w:tc>
          <w:tcPr>
            <w:tcW w:w="2017" w:type="dxa"/>
          </w:tcPr>
          <w:p w14:paraId="3FE8E75D" w14:textId="77777777" w:rsidR="00EF2880" w:rsidRDefault="00EF2880" w:rsidP="0085186E">
            <w:r>
              <w:t>70</w:t>
            </w:r>
          </w:p>
        </w:tc>
      </w:tr>
      <w:tr w:rsidR="00EF2880" w14:paraId="78B5FB31" w14:textId="77777777" w:rsidTr="0085186E">
        <w:trPr>
          <w:trHeight w:val="340"/>
        </w:trPr>
        <w:tc>
          <w:tcPr>
            <w:tcW w:w="2301" w:type="dxa"/>
          </w:tcPr>
          <w:p w14:paraId="69267863" w14:textId="77777777" w:rsidR="00EF2880" w:rsidRDefault="00EF2880" w:rsidP="0085186E">
            <w:pPr>
              <w:jc w:val="center"/>
            </w:pPr>
            <w:r>
              <w:t>(3)</w:t>
            </w:r>
          </w:p>
        </w:tc>
        <w:tc>
          <w:tcPr>
            <w:tcW w:w="2362" w:type="dxa"/>
          </w:tcPr>
          <w:p w14:paraId="03E55CB6" w14:textId="77777777" w:rsidR="00EF2880" w:rsidRDefault="00EF2880" w:rsidP="0085186E">
            <w:r>
              <w:t>30</w:t>
            </w:r>
          </w:p>
        </w:tc>
        <w:tc>
          <w:tcPr>
            <w:tcW w:w="2336" w:type="dxa"/>
          </w:tcPr>
          <w:p w14:paraId="1122776E" w14:textId="77777777" w:rsidR="00EF2880" w:rsidRDefault="00EF2880" w:rsidP="0085186E">
            <w:r>
              <w:t>20</w:t>
            </w:r>
          </w:p>
        </w:tc>
        <w:tc>
          <w:tcPr>
            <w:tcW w:w="2017" w:type="dxa"/>
          </w:tcPr>
          <w:p w14:paraId="724C6B1C" w14:textId="77777777" w:rsidR="00EF2880" w:rsidRDefault="00EF2880" w:rsidP="0085186E">
            <w:r>
              <w:t>50</w:t>
            </w:r>
          </w:p>
        </w:tc>
      </w:tr>
      <w:tr w:rsidR="00EF2880" w14:paraId="43E2C009" w14:textId="77777777" w:rsidTr="0085186E">
        <w:trPr>
          <w:trHeight w:val="340"/>
        </w:trPr>
        <w:tc>
          <w:tcPr>
            <w:tcW w:w="2301" w:type="dxa"/>
          </w:tcPr>
          <w:p w14:paraId="787287E6" w14:textId="77777777" w:rsidR="00EF2880" w:rsidRDefault="00EF2880" w:rsidP="0085186E">
            <w:pPr>
              <w:jc w:val="center"/>
            </w:pPr>
            <w:r>
              <w:t>(4)</w:t>
            </w:r>
          </w:p>
        </w:tc>
        <w:tc>
          <w:tcPr>
            <w:tcW w:w="2362" w:type="dxa"/>
          </w:tcPr>
          <w:p w14:paraId="5CD4818F" w14:textId="77777777" w:rsidR="00EF2880" w:rsidRDefault="00EF2880" w:rsidP="0085186E">
            <w:r>
              <w:t>30</w:t>
            </w:r>
          </w:p>
        </w:tc>
        <w:tc>
          <w:tcPr>
            <w:tcW w:w="2336" w:type="dxa"/>
          </w:tcPr>
          <w:p w14:paraId="5F7B204A" w14:textId="38DED44C" w:rsidR="00EF2880" w:rsidRDefault="00EF2880" w:rsidP="0085186E">
            <w:r>
              <w:t>25</w:t>
            </w:r>
          </w:p>
        </w:tc>
        <w:tc>
          <w:tcPr>
            <w:tcW w:w="2017" w:type="dxa"/>
          </w:tcPr>
          <w:p w14:paraId="1192B2D1" w14:textId="57833CCD" w:rsidR="00EF2880" w:rsidRDefault="00EF2880" w:rsidP="0085186E">
            <w:r>
              <w:t>45</w:t>
            </w:r>
          </w:p>
        </w:tc>
      </w:tr>
      <w:tr w:rsidR="00EF2880" w14:paraId="44FE78DA" w14:textId="77777777" w:rsidTr="0085186E">
        <w:trPr>
          <w:trHeight w:val="340"/>
        </w:trPr>
        <w:tc>
          <w:tcPr>
            <w:tcW w:w="2301" w:type="dxa"/>
          </w:tcPr>
          <w:p w14:paraId="6CEDF761" w14:textId="77777777" w:rsidR="00EF2880" w:rsidRDefault="00EF2880" w:rsidP="0085186E">
            <w:pPr>
              <w:jc w:val="center"/>
            </w:pPr>
            <w:r>
              <w:t>(5)</w:t>
            </w:r>
          </w:p>
        </w:tc>
        <w:tc>
          <w:tcPr>
            <w:tcW w:w="2362" w:type="dxa"/>
          </w:tcPr>
          <w:p w14:paraId="0038237A" w14:textId="77777777" w:rsidR="00EF2880" w:rsidRDefault="00EF2880" w:rsidP="0085186E">
            <w:r>
              <w:t>30</w:t>
            </w:r>
          </w:p>
        </w:tc>
        <w:tc>
          <w:tcPr>
            <w:tcW w:w="2336" w:type="dxa"/>
          </w:tcPr>
          <w:p w14:paraId="04B5ADB4" w14:textId="77777777" w:rsidR="00EF2880" w:rsidRDefault="00EF2880" w:rsidP="0085186E">
            <w:r>
              <w:t>60</w:t>
            </w:r>
          </w:p>
        </w:tc>
        <w:tc>
          <w:tcPr>
            <w:tcW w:w="2017" w:type="dxa"/>
          </w:tcPr>
          <w:p w14:paraId="48D59694" w14:textId="77777777" w:rsidR="00EF2880" w:rsidRDefault="00EF2880" w:rsidP="0085186E">
            <w:r>
              <w:t>10</w:t>
            </w:r>
          </w:p>
        </w:tc>
      </w:tr>
      <w:tr w:rsidR="00EF2880" w14:paraId="6F6D10DD" w14:textId="77777777" w:rsidTr="0085186E">
        <w:trPr>
          <w:trHeight w:val="340"/>
        </w:trPr>
        <w:tc>
          <w:tcPr>
            <w:tcW w:w="2301" w:type="dxa"/>
          </w:tcPr>
          <w:p w14:paraId="716F2905" w14:textId="77777777" w:rsidR="00EF2880" w:rsidRDefault="00EF2880" w:rsidP="0085186E">
            <w:pPr>
              <w:jc w:val="center"/>
            </w:pPr>
            <w:r>
              <w:t>(6)</w:t>
            </w:r>
          </w:p>
        </w:tc>
        <w:tc>
          <w:tcPr>
            <w:tcW w:w="2362" w:type="dxa"/>
          </w:tcPr>
          <w:p w14:paraId="50859F40" w14:textId="77777777" w:rsidR="00EF2880" w:rsidRDefault="00EF2880" w:rsidP="0085186E">
            <w:r>
              <w:t>30</w:t>
            </w:r>
          </w:p>
        </w:tc>
        <w:tc>
          <w:tcPr>
            <w:tcW w:w="2336" w:type="dxa"/>
          </w:tcPr>
          <w:p w14:paraId="313B2C99" w14:textId="77777777" w:rsidR="00EF2880" w:rsidRDefault="00EF2880" w:rsidP="0085186E">
            <w:r>
              <w:t>0</w:t>
            </w:r>
          </w:p>
        </w:tc>
        <w:tc>
          <w:tcPr>
            <w:tcW w:w="2017" w:type="dxa"/>
          </w:tcPr>
          <w:p w14:paraId="462AB4F6" w14:textId="77777777" w:rsidR="00EF2880" w:rsidRDefault="00EF2880" w:rsidP="0085186E">
            <w:r>
              <w:t>70</w:t>
            </w:r>
          </w:p>
        </w:tc>
      </w:tr>
      <w:tr w:rsidR="00EF2880" w14:paraId="113EFFFC" w14:textId="77777777" w:rsidTr="0085186E">
        <w:trPr>
          <w:trHeight w:val="340"/>
        </w:trPr>
        <w:tc>
          <w:tcPr>
            <w:tcW w:w="2301" w:type="dxa"/>
          </w:tcPr>
          <w:p w14:paraId="462CE3C6" w14:textId="77777777" w:rsidR="00EF2880" w:rsidRDefault="00EF2880" w:rsidP="0085186E">
            <w:pPr>
              <w:jc w:val="center"/>
            </w:pPr>
            <w:r>
              <w:t>(7)</w:t>
            </w:r>
          </w:p>
        </w:tc>
        <w:tc>
          <w:tcPr>
            <w:tcW w:w="2362" w:type="dxa"/>
          </w:tcPr>
          <w:p w14:paraId="432AF593" w14:textId="77777777" w:rsidR="00EF2880" w:rsidRDefault="00EF2880" w:rsidP="0085186E">
            <w:r>
              <w:t>90</w:t>
            </w:r>
          </w:p>
        </w:tc>
        <w:tc>
          <w:tcPr>
            <w:tcW w:w="2336" w:type="dxa"/>
          </w:tcPr>
          <w:p w14:paraId="621BEFA7" w14:textId="77777777" w:rsidR="00EF2880" w:rsidRDefault="00EF2880" w:rsidP="0085186E">
            <w:r>
              <w:t>0</w:t>
            </w:r>
          </w:p>
        </w:tc>
        <w:tc>
          <w:tcPr>
            <w:tcW w:w="2017" w:type="dxa"/>
          </w:tcPr>
          <w:p w14:paraId="64C5BF0B" w14:textId="77777777" w:rsidR="00EF2880" w:rsidRDefault="00EF2880" w:rsidP="0085186E">
            <w:r>
              <w:t>10</w:t>
            </w:r>
          </w:p>
        </w:tc>
      </w:tr>
    </w:tbl>
    <w:p w14:paraId="6DF0F159" w14:textId="11F2D6E4" w:rsidR="003540B9" w:rsidRDefault="003540B9" w:rsidP="003540B9"/>
    <w:p w14:paraId="0CCF8BB6" w14:textId="0E1C5AA5" w:rsidR="003540B9" w:rsidRDefault="003540B9" w:rsidP="003540B9">
      <w:pPr>
        <w:pStyle w:val="Heading2"/>
      </w:pPr>
      <w:r>
        <w:t>Performance Requirements – LHDG Gold Level</w:t>
      </w:r>
    </w:p>
    <w:p w14:paraId="6545C858" w14:textId="77777777" w:rsidR="003540B9" w:rsidRPr="0067667C" w:rsidRDefault="003540B9" w:rsidP="003540B9">
      <w:pPr>
        <w:rPr>
          <w:rFonts w:eastAsia="Calibri" w:cs="Times New Roman"/>
        </w:rPr>
      </w:pPr>
      <w:r w:rsidRPr="0067667C">
        <w:rPr>
          <w:rFonts w:eastAsia="Calibri" w:cs="Times New Roman"/>
        </w:rPr>
        <w:t>(1)</w:t>
      </w:r>
      <w:r w:rsidRPr="0067667C">
        <w:rPr>
          <w:rFonts w:eastAsia="Calibri" w:cs="Times New Roman"/>
        </w:rPr>
        <w:tab/>
        <w:t xml:space="preserve">A safe, continuous, step-free pathway from the street entrance and/or parking area to </w:t>
      </w:r>
      <w:r w:rsidRPr="0067667C">
        <w:rPr>
          <w:rFonts w:eastAsia="Calibri" w:cs="Times New Roman"/>
        </w:rPr>
        <w:tab/>
        <w:t>a dwelling entrance that is level.</w:t>
      </w:r>
    </w:p>
    <w:p w14:paraId="4123B8B4" w14:textId="77777777" w:rsidR="003540B9" w:rsidRPr="0067667C" w:rsidRDefault="003540B9" w:rsidP="003540B9">
      <w:pPr>
        <w:rPr>
          <w:rFonts w:eastAsia="Calibri" w:cs="Times New Roman"/>
        </w:rPr>
      </w:pPr>
      <w:r w:rsidRPr="0067667C">
        <w:rPr>
          <w:rFonts w:eastAsia="Calibri" w:cs="Times New Roman"/>
        </w:rPr>
        <w:t>(2)</w:t>
      </w:r>
      <w:r w:rsidRPr="0067667C">
        <w:rPr>
          <w:rFonts w:eastAsia="Calibri" w:cs="Times New Roman"/>
        </w:rPr>
        <w:tab/>
        <w:t xml:space="preserve">At least one level (step-free) entrance into the dwelling to enable home occupants to </w:t>
      </w:r>
      <w:r w:rsidRPr="0067667C">
        <w:rPr>
          <w:rFonts w:eastAsia="Calibri" w:cs="Times New Roman"/>
        </w:rPr>
        <w:tab/>
        <w:t>easily enter and exit the dwelling.</w:t>
      </w:r>
    </w:p>
    <w:p w14:paraId="127197FA" w14:textId="77777777" w:rsidR="003540B9" w:rsidRPr="0067667C" w:rsidRDefault="003540B9" w:rsidP="003540B9">
      <w:pPr>
        <w:rPr>
          <w:rFonts w:eastAsia="Calibri" w:cs="Times New Roman"/>
        </w:rPr>
      </w:pPr>
      <w:r w:rsidRPr="0067667C">
        <w:rPr>
          <w:rFonts w:eastAsia="Calibri" w:cs="Times New Roman"/>
        </w:rPr>
        <w:t>(3)</w:t>
      </w:r>
      <w:r w:rsidRPr="0067667C">
        <w:rPr>
          <w:rFonts w:eastAsia="Calibri" w:cs="Times New Roman"/>
        </w:rPr>
        <w:tab/>
        <w:t xml:space="preserve">Internal doors and corridors that facilitate comfortable and unimpeded movement </w:t>
      </w:r>
      <w:r w:rsidRPr="0067667C">
        <w:rPr>
          <w:rFonts w:eastAsia="Calibri" w:cs="Times New Roman"/>
        </w:rPr>
        <w:tab/>
        <w:t>between spaces.</w:t>
      </w:r>
    </w:p>
    <w:p w14:paraId="2AE00958" w14:textId="77777777" w:rsidR="003540B9" w:rsidRPr="0067667C" w:rsidRDefault="003540B9" w:rsidP="003540B9">
      <w:pPr>
        <w:rPr>
          <w:rFonts w:eastAsia="Calibri" w:cs="Times New Roman"/>
        </w:rPr>
      </w:pPr>
      <w:r w:rsidRPr="0067667C">
        <w:rPr>
          <w:rFonts w:eastAsia="Calibri" w:cs="Times New Roman"/>
        </w:rPr>
        <w:t>(4)</w:t>
      </w:r>
      <w:r w:rsidRPr="0067667C">
        <w:rPr>
          <w:rFonts w:eastAsia="Calibri" w:cs="Times New Roman"/>
        </w:rPr>
        <w:tab/>
        <w:t xml:space="preserve">The ground (or entry) level has a toilet to support easy access for home occupants and </w:t>
      </w:r>
      <w:r w:rsidRPr="0067667C">
        <w:rPr>
          <w:rFonts w:eastAsia="Calibri" w:cs="Times New Roman"/>
        </w:rPr>
        <w:tab/>
        <w:t>visitors.</w:t>
      </w:r>
    </w:p>
    <w:p w14:paraId="6FD33F4C" w14:textId="77777777" w:rsidR="003540B9" w:rsidRPr="0067667C" w:rsidRDefault="003540B9" w:rsidP="003540B9">
      <w:pPr>
        <w:rPr>
          <w:rFonts w:eastAsia="Calibri" w:cs="Times New Roman"/>
        </w:rPr>
      </w:pPr>
      <w:r w:rsidRPr="0067667C">
        <w:rPr>
          <w:rFonts w:eastAsia="Calibri" w:cs="Times New Roman"/>
        </w:rPr>
        <w:t>(5)</w:t>
      </w:r>
      <w:r w:rsidRPr="0067667C">
        <w:rPr>
          <w:rFonts w:eastAsia="Calibri" w:cs="Times New Roman"/>
        </w:rPr>
        <w:tab/>
        <w:t xml:space="preserve">The bathroom and shower is designed for easy and independent access for all home </w:t>
      </w:r>
      <w:r w:rsidRPr="0067667C">
        <w:rPr>
          <w:rFonts w:eastAsia="Calibri" w:cs="Times New Roman"/>
        </w:rPr>
        <w:tab/>
        <w:t>occupants.</w:t>
      </w:r>
    </w:p>
    <w:p w14:paraId="163027A5" w14:textId="77777777" w:rsidR="003540B9" w:rsidRPr="0067667C" w:rsidRDefault="003540B9" w:rsidP="003540B9">
      <w:pPr>
        <w:rPr>
          <w:rFonts w:eastAsia="Calibri" w:cs="Times New Roman"/>
        </w:rPr>
      </w:pPr>
      <w:r w:rsidRPr="0067667C">
        <w:rPr>
          <w:rFonts w:eastAsia="Calibri" w:cs="Times New Roman"/>
        </w:rPr>
        <w:t>(6)</w:t>
      </w:r>
      <w:r w:rsidRPr="0067667C">
        <w:rPr>
          <w:rFonts w:eastAsia="Calibri" w:cs="Times New Roman"/>
        </w:rPr>
        <w:tab/>
        <w:t xml:space="preserve">Bathroom and toilet walls are built to enable grabrails to be safely and economically </w:t>
      </w:r>
      <w:r w:rsidRPr="0067667C">
        <w:rPr>
          <w:rFonts w:eastAsia="Calibri" w:cs="Times New Roman"/>
        </w:rPr>
        <w:tab/>
        <w:t>installed (immediately or in the future).</w:t>
      </w:r>
    </w:p>
    <w:p w14:paraId="506DA11C" w14:textId="77777777" w:rsidR="003540B9" w:rsidRPr="0067667C" w:rsidRDefault="003540B9" w:rsidP="003540B9">
      <w:pPr>
        <w:rPr>
          <w:rFonts w:eastAsia="Calibri" w:cs="Times New Roman"/>
        </w:rPr>
      </w:pPr>
      <w:r w:rsidRPr="0067667C">
        <w:rPr>
          <w:rFonts w:eastAsia="Calibri" w:cs="Times New Roman"/>
        </w:rPr>
        <w:t>(7)</w:t>
      </w:r>
      <w:r w:rsidRPr="0067667C">
        <w:rPr>
          <w:rFonts w:eastAsia="Calibri" w:cs="Times New Roman"/>
        </w:rPr>
        <w:tab/>
        <w:t xml:space="preserve">Where installed, stairways are designed to reduce the likelihood of injury and also </w:t>
      </w:r>
      <w:r w:rsidRPr="0067667C">
        <w:rPr>
          <w:rFonts w:eastAsia="Calibri" w:cs="Times New Roman"/>
        </w:rPr>
        <w:tab/>
        <w:t>enable a safe pathway.</w:t>
      </w:r>
    </w:p>
    <w:p w14:paraId="18CA838B" w14:textId="77777777" w:rsidR="003540B9" w:rsidRPr="0067667C" w:rsidRDefault="003540B9" w:rsidP="003540B9">
      <w:pPr>
        <w:rPr>
          <w:rFonts w:eastAsia="Calibri" w:cs="Times New Roman"/>
        </w:rPr>
      </w:pPr>
      <w:r w:rsidRPr="0067667C">
        <w:rPr>
          <w:rFonts w:eastAsia="Calibri" w:cs="Times New Roman"/>
        </w:rPr>
        <w:t>(8)</w:t>
      </w:r>
      <w:r w:rsidRPr="0067667C">
        <w:rPr>
          <w:rFonts w:eastAsia="Calibri" w:cs="Times New Roman"/>
        </w:rPr>
        <w:tab/>
        <w:t xml:space="preserve">The kitchen space is designed to support ease of movement between fixed benches </w:t>
      </w:r>
      <w:r w:rsidRPr="0067667C">
        <w:rPr>
          <w:rFonts w:eastAsia="Calibri" w:cs="Times New Roman"/>
        </w:rPr>
        <w:tab/>
        <w:t>and to support easy adaptation.</w:t>
      </w:r>
    </w:p>
    <w:p w14:paraId="2C253334" w14:textId="77777777" w:rsidR="003540B9" w:rsidRPr="0067667C" w:rsidRDefault="003540B9" w:rsidP="003540B9">
      <w:pPr>
        <w:rPr>
          <w:rFonts w:eastAsia="Calibri" w:cs="Times New Roman"/>
        </w:rPr>
      </w:pPr>
      <w:r w:rsidRPr="0067667C">
        <w:rPr>
          <w:rFonts w:eastAsia="Calibri" w:cs="Times New Roman"/>
        </w:rPr>
        <w:t>(9)</w:t>
      </w:r>
      <w:r w:rsidRPr="0067667C">
        <w:rPr>
          <w:rFonts w:eastAsia="Calibri" w:cs="Times New Roman"/>
        </w:rPr>
        <w:tab/>
        <w:t xml:space="preserve">The laundry space is designed to support ease of movement between fixed benches </w:t>
      </w:r>
      <w:r w:rsidRPr="0067667C">
        <w:rPr>
          <w:rFonts w:eastAsia="Calibri" w:cs="Times New Roman"/>
        </w:rPr>
        <w:tab/>
        <w:t>and to support easy adaptation.</w:t>
      </w:r>
    </w:p>
    <w:p w14:paraId="2A2A2536" w14:textId="77777777" w:rsidR="003540B9" w:rsidRPr="0067667C" w:rsidRDefault="003540B9" w:rsidP="003540B9">
      <w:pPr>
        <w:rPr>
          <w:rFonts w:eastAsia="Calibri" w:cs="Times New Roman"/>
        </w:rPr>
      </w:pPr>
      <w:r w:rsidRPr="0067667C">
        <w:rPr>
          <w:rFonts w:eastAsia="Calibri" w:cs="Times New Roman"/>
        </w:rPr>
        <w:t>(10)</w:t>
      </w:r>
      <w:r w:rsidRPr="0067667C">
        <w:rPr>
          <w:rFonts w:eastAsia="Calibri" w:cs="Times New Roman"/>
        </w:rPr>
        <w:tab/>
        <w:t>There is a space on the ground (or entry) level that can be used as a bedroom.</w:t>
      </w:r>
    </w:p>
    <w:p w14:paraId="2DE261DC" w14:textId="77777777" w:rsidR="003540B9" w:rsidRPr="0067667C" w:rsidRDefault="003540B9" w:rsidP="003540B9">
      <w:pPr>
        <w:rPr>
          <w:rFonts w:eastAsia="Calibri" w:cs="Times New Roman"/>
        </w:rPr>
      </w:pPr>
      <w:r w:rsidRPr="0067667C">
        <w:rPr>
          <w:rFonts w:eastAsia="Calibri" w:cs="Times New Roman"/>
        </w:rPr>
        <w:t>(11)</w:t>
      </w:r>
      <w:r w:rsidRPr="0067667C">
        <w:rPr>
          <w:rFonts w:eastAsia="Calibri" w:cs="Times New Roman"/>
        </w:rPr>
        <w:tab/>
        <w:t>Light switches are located at heights that are easy to reach for all home occupants.</w:t>
      </w:r>
    </w:p>
    <w:p w14:paraId="60D0F535" w14:textId="77777777" w:rsidR="003540B9" w:rsidRPr="0067667C" w:rsidRDefault="003540B9" w:rsidP="003540B9">
      <w:pPr>
        <w:rPr>
          <w:rFonts w:eastAsia="Calibri" w:cs="Times New Roman"/>
        </w:rPr>
      </w:pPr>
      <w:r w:rsidRPr="0067667C">
        <w:rPr>
          <w:rFonts w:eastAsia="Calibri" w:cs="Times New Roman"/>
        </w:rPr>
        <w:t>(12)</w:t>
      </w:r>
      <w:r w:rsidRPr="0067667C">
        <w:rPr>
          <w:rFonts w:eastAsia="Calibri" w:cs="Times New Roman"/>
        </w:rPr>
        <w:tab/>
        <w:t>Occupants are able to easily and independently open and close doors.</w:t>
      </w:r>
    </w:p>
    <w:p w14:paraId="70CE3465" w14:textId="77777777" w:rsidR="003540B9" w:rsidRPr="003540B9" w:rsidRDefault="003540B9" w:rsidP="003540B9"/>
    <w:p w14:paraId="1CDB6FFB" w14:textId="5A9FC949" w:rsidR="008D2F1A" w:rsidRDefault="003540B9" w:rsidP="003540B9">
      <w:pPr>
        <w:pStyle w:val="Heading3"/>
      </w:pPr>
      <w:r>
        <w:t>Table A</w:t>
      </w:r>
      <w:r w:rsidR="00EF2880">
        <w:t>5</w:t>
      </w:r>
      <w:r w:rsidR="008D2F1A">
        <w:t xml:space="preserve"> – </w:t>
      </w:r>
      <w:r w:rsidR="007B5955">
        <w:t xml:space="preserve">New </w:t>
      </w:r>
      <w:r w:rsidR="008D2F1A">
        <w:t>Class 1a Dwellings (Gold Level)</w:t>
      </w:r>
    </w:p>
    <w:tbl>
      <w:tblPr>
        <w:tblStyle w:val="TableGrid"/>
        <w:tblW w:w="0" w:type="auto"/>
        <w:tblLook w:val="04A0" w:firstRow="1" w:lastRow="0" w:firstColumn="1" w:lastColumn="0" w:noHBand="0" w:noVBand="1"/>
        <w:tblCaption w:val="Table A5 - New Class 1a Dwellings (Gold Level)"/>
        <w:tblDescription w:val="Table setting out scenario weightings for new Class 1a dwellings to LHDG Gold Level."/>
      </w:tblPr>
      <w:tblGrid>
        <w:gridCol w:w="2301"/>
        <w:gridCol w:w="2362"/>
        <w:gridCol w:w="2336"/>
        <w:gridCol w:w="2017"/>
      </w:tblGrid>
      <w:tr w:rsidR="008D2F1A" w14:paraId="64EAD5FD" w14:textId="77777777" w:rsidTr="000D3298">
        <w:trPr>
          <w:tblHeader/>
        </w:trPr>
        <w:tc>
          <w:tcPr>
            <w:tcW w:w="2301" w:type="dxa"/>
            <w:shd w:val="clear" w:color="auto" w:fill="BFBFBF" w:themeFill="background1" w:themeFillShade="BF"/>
          </w:tcPr>
          <w:p w14:paraId="343F1303" w14:textId="77777777" w:rsidR="008D2F1A" w:rsidRPr="00163F60" w:rsidRDefault="008D2F1A" w:rsidP="000D5240">
            <w:pPr>
              <w:rPr>
                <w:b/>
              </w:rPr>
            </w:pPr>
            <w:r>
              <w:rPr>
                <w:b/>
              </w:rPr>
              <w:t>Performance Requirement</w:t>
            </w:r>
          </w:p>
        </w:tc>
        <w:tc>
          <w:tcPr>
            <w:tcW w:w="2362" w:type="dxa"/>
            <w:shd w:val="clear" w:color="auto" w:fill="BFBFBF" w:themeFill="background1" w:themeFillShade="BF"/>
          </w:tcPr>
          <w:p w14:paraId="72C937AC" w14:textId="77777777" w:rsidR="008D2F1A" w:rsidRDefault="008D2F1A" w:rsidP="000D5240">
            <w:pPr>
              <w:jc w:val="left"/>
              <w:rPr>
                <w:b/>
              </w:rPr>
            </w:pPr>
            <w:r w:rsidRPr="00163F60">
              <w:rPr>
                <w:b/>
              </w:rPr>
              <w:t xml:space="preserve">Low Impact </w:t>
            </w:r>
          </w:p>
          <w:p w14:paraId="2C69BCAB" w14:textId="77777777" w:rsidR="008D2F1A" w:rsidRPr="00163F60" w:rsidRDefault="008D2F1A" w:rsidP="000D5240">
            <w:pPr>
              <w:jc w:val="left"/>
              <w:rPr>
                <w:b/>
              </w:rPr>
            </w:pPr>
            <w:r w:rsidRPr="00163F60">
              <w:rPr>
                <w:b/>
              </w:rPr>
              <w:t>(% of dwellings)</w:t>
            </w:r>
          </w:p>
        </w:tc>
        <w:tc>
          <w:tcPr>
            <w:tcW w:w="2336" w:type="dxa"/>
            <w:shd w:val="clear" w:color="auto" w:fill="BFBFBF" w:themeFill="background1" w:themeFillShade="BF"/>
          </w:tcPr>
          <w:p w14:paraId="6F77B746" w14:textId="77777777" w:rsidR="008D2F1A" w:rsidRDefault="008D2F1A" w:rsidP="000D5240">
            <w:pPr>
              <w:jc w:val="left"/>
              <w:rPr>
                <w:b/>
              </w:rPr>
            </w:pPr>
            <w:r w:rsidRPr="00163F60">
              <w:rPr>
                <w:b/>
              </w:rPr>
              <w:t xml:space="preserve">Medium Impact </w:t>
            </w:r>
          </w:p>
          <w:p w14:paraId="5EBED963" w14:textId="6B55DBC2" w:rsidR="008D2F1A" w:rsidRPr="00163F60" w:rsidRDefault="008D2F1A" w:rsidP="000D5240">
            <w:pPr>
              <w:jc w:val="left"/>
              <w:rPr>
                <w:b/>
              </w:rPr>
            </w:pPr>
            <w:r w:rsidRPr="00163F60">
              <w:rPr>
                <w:b/>
              </w:rPr>
              <w:t>(% of dwellings</w:t>
            </w:r>
            <w:r w:rsidR="000345E6">
              <w:rPr>
                <w:b/>
              </w:rPr>
              <w:t>)</w:t>
            </w:r>
          </w:p>
        </w:tc>
        <w:tc>
          <w:tcPr>
            <w:tcW w:w="2017" w:type="dxa"/>
            <w:shd w:val="clear" w:color="auto" w:fill="BFBFBF" w:themeFill="background1" w:themeFillShade="BF"/>
          </w:tcPr>
          <w:p w14:paraId="5AA6869A" w14:textId="77777777" w:rsidR="008D2F1A" w:rsidRDefault="008D2F1A" w:rsidP="000D5240">
            <w:pPr>
              <w:jc w:val="left"/>
              <w:rPr>
                <w:b/>
              </w:rPr>
            </w:pPr>
            <w:r w:rsidRPr="00163F60">
              <w:rPr>
                <w:b/>
              </w:rPr>
              <w:t xml:space="preserve">High Impact </w:t>
            </w:r>
          </w:p>
          <w:p w14:paraId="4186A167" w14:textId="77777777" w:rsidR="008D2F1A" w:rsidRPr="00163F60" w:rsidRDefault="008D2F1A" w:rsidP="000D5240">
            <w:pPr>
              <w:jc w:val="left"/>
              <w:rPr>
                <w:b/>
              </w:rPr>
            </w:pPr>
            <w:r w:rsidRPr="00163F60">
              <w:rPr>
                <w:b/>
              </w:rPr>
              <w:t>(% of Dwellings)</w:t>
            </w:r>
          </w:p>
        </w:tc>
      </w:tr>
      <w:tr w:rsidR="008D2F1A" w14:paraId="1B0CDA89" w14:textId="77777777" w:rsidTr="000D5240">
        <w:trPr>
          <w:trHeight w:val="340"/>
        </w:trPr>
        <w:tc>
          <w:tcPr>
            <w:tcW w:w="2301" w:type="dxa"/>
          </w:tcPr>
          <w:p w14:paraId="2020487E" w14:textId="77777777" w:rsidR="008D2F1A" w:rsidRDefault="008D2F1A" w:rsidP="000D5240">
            <w:pPr>
              <w:jc w:val="center"/>
            </w:pPr>
            <w:r>
              <w:t>(1)</w:t>
            </w:r>
          </w:p>
        </w:tc>
        <w:tc>
          <w:tcPr>
            <w:tcW w:w="2362" w:type="dxa"/>
          </w:tcPr>
          <w:p w14:paraId="1189CDBD" w14:textId="4D678535" w:rsidR="008D2F1A" w:rsidRDefault="008D2F1A" w:rsidP="000D5240">
            <w:r>
              <w:t>25</w:t>
            </w:r>
          </w:p>
        </w:tc>
        <w:tc>
          <w:tcPr>
            <w:tcW w:w="2336" w:type="dxa"/>
          </w:tcPr>
          <w:p w14:paraId="6EA67578" w14:textId="176E31FA" w:rsidR="008D2F1A" w:rsidRDefault="008D2F1A" w:rsidP="000D5240">
            <w:r>
              <w:t>55</w:t>
            </w:r>
          </w:p>
        </w:tc>
        <w:tc>
          <w:tcPr>
            <w:tcW w:w="2017" w:type="dxa"/>
          </w:tcPr>
          <w:p w14:paraId="02F56413" w14:textId="797FF0A0" w:rsidR="008D2F1A" w:rsidRDefault="008D2F1A" w:rsidP="000D5240">
            <w:r>
              <w:t>20</w:t>
            </w:r>
          </w:p>
        </w:tc>
      </w:tr>
      <w:tr w:rsidR="008D2F1A" w14:paraId="6558B65A" w14:textId="77777777" w:rsidTr="000D5240">
        <w:trPr>
          <w:trHeight w:val="340"/>
        </w:trPr>
        <w:tc>
          <w:tcPr>
            <w:tcW w:w="2301" w:type="dxa"/>
          </w:tcPr>
          <w:p w14:paraId="57288500" w14:textId="77777777" w:rsidR="008D2F1A" w:rsidRDefault="008D2F1A" w:rsidP="000D5240">
            <w:pPr>
              <w:jc w:val="center"/>
            </w:pPr>
            <w:r>
              <w:t>(2)</w:t>
            </w:r>
          </w:p>
        </w:tc>
        <w:tc>
          <w:tcPr>
            <w:tcW w:w="2362" w:type="dxa"/>
          </w:tcPr>
          <w:p w14:paraId="48832991" w14:textId="3C3F1BCB" w:rsidR="008D2F1A" w:rsidRDefault="008D2F1A" w:rsidP="000D5240">
            <w:r>
              <w:t>20</w:t>
            </w:r>
          </w:p>
        </w:tc>
        <w:tc>
          <w:tcPr>
            <w:tcW w:w="2336" w:type="dxa"/>
          </w:tcPr>
          <w:p w14:paraId="6ADE6DF9" w14:textId="5C1A035A" w:rsidR="008D2F1A" w:rsidRDefault="008D2F1A" w:rsidP="000D5240">
            <w:r>
              <w:t>40</w:t>
            </w:r>
          </w:p>
        </w:tc>
        <w:tc>
          <w:tcPr>
            <w:tcW w:w="2017" w:type="dxa"/>
          </w:tcPr>
          <w:p w14:paraId="722DE28A" w14:textId="6CFF6DE8" w:rsidR="008D2F1A" w:rsidRDefault="008D2F1A" w:rsidP="000D5240">
            <w:r>
              <w:t>40</w:t>
            </w:r>
          </w:p>
        </w:tc>
      </w:tr>
      <w:tr w:rsidR="008D2F1A" w14:paraId="0AE2B273" w14:textId="77777777" w:rsidTr="000D5240">
        <w:trPr>
          <w:trHeight w:val="340"/>
        </w:trPr>
        <w:tc>
          <w:tcPr>
            <w:tcW w:w="2301" w:type="dxa"/>
          </w:tcPr>
          <w:p w14:paraId="17587C08" w14:textId="77777777" w:rsidR="008D2F1A" w:rsidRDefault="008D2F1A" w:rsidP="000D5240">
            <w:pPr>
              <w:jc w:val="center"/>
            </w:pPr>
            <w:r>
              <w:t>(3)</w:t>
            </w:r>
          </w:p>
        </w:tc>
        <w:tc>
          <w:tcPr>
            <w:tcW w:w="2362" w:type="dxa"/>
          </w:tcPr>
          <w:p w14:paraId="389AF082" w14:textId="1E2851CC" w:rsidR="008D2F1A" w:rsidRDefault="008D2F1A" w:rsidP="000D5240">
            <w:r>
              <w:t>10</w:t>
            </w:r>
          </w:p>
        </w:tc>
        <w:tc>
          <w:tcPr>
            <w:tcW w:w="2336" w:type="dxa"/>
          </w:tcPr>
          <w:p w14:paraId="2B098E82" w14:textId="0BD6C3F9" w:rsidR="008D2F1A" w:rsidRDefault="008D2F1A" w:rsidP="000D5240">
            <w:r>
              <w:t>60</w:t>
            </w:r>
          </w:p>
        </w:tc>
        <w:tc>
          <w:tcPr>
            <w:tcW w:w="2017" w:type="dxa"/>
          </w:tcPr>
          <w:p w14:paraId="28ACDE8E" w14:textId="4928D829" w:rsidR="008D2F1A" w:rsidRDefault="008D2F1A" w:rsidP="000D5240">
            <w:r>
              <w:t>30</w:t>
            </w:r>
          </w:p>
        </w:tc>
      </w:tr>
      <w:tr w:rsidR="008D2F1A" w14:paraId="04FF731E" w14:textId="77777777" w:rsidTr="000D5240">
        <w:trPr>
          <w:trHeight w:val="340"/>
        </w:trPr>
        <w:tc>
          <w:tcPr>
            <w:tcW w:w="2301" w:type="dxa"/>
          </w:tcPr>
          <w:p w14:paraId="35E4967B" w14:textId="77777777" w:rsidR="008D2F1A" w:rsidRDefault="008D2F1A" w:rsidP="000D5240">
            <w:pPr>
              <w:jc w:val="center"/>
            </w:pPr>
            <w:r>
              <w:t>(4)</w:t>
            </w:r>
          </w:p>
        </w:tc>
        <w:tc>
          <w:tcPr>
            <w:tcW w:w="2362" w:type="dxa"/>
          </w:tcPr>
          <w:p w14:paraId="1D6DC913" w14:textId="3EF97948" w:rsidR="008D2F1A" w:rsidRDefault="008D2F1A" w:rsidP="000D5240">
            <w:r>
              <w:t>10</w:t>
            </w:r>
          </w:p>
        </w:tc>
        <w:tc>
          <w:tcPr>
            <w:tcW w:w="2336" w:type="dxa"/>
          </w:tcPr>
          <w:p w14:paraId="17C78FF5" w14:textId="03AE9793" w:rsidR="008D2F1A" w:rsidRDefault="008D2F1A" w:rsidP="000D5240">
            <w:r>
              <w:t>85</w:t>
            </w:r>
          </w:p>
        </w:tc>
        <w:tc>
          <w:tcPr>
            <w:tcW w:w="2017" w:type="dxa"/>
          </w:tcPr>
          <w:p w14:paraId="5DEA6A5E" w14:textId="5BF9A2C4" w:rsidR="008D2F1A" w:rsidRDefault="008D2F1A" w:rsidP="000D5240">
            <w:r>
              <w:t>5</w:t>
            </w:r>
          </w:p>
        </w:tc>
      </w:tr>
      <w:tr w:rsidR="008D2F1A" w14:paraId="0A8233D4" w14:textId="77777777" w:rsidTr="000D5240">
        <w:trPr>
          <w:trHeight w:val="340"/>
        </w:trPr>
        <w:tc>
          <w:tcPr>
            <w:tcW w:w="2301" w:type="dxa"/>
          </w:tcPr>
          <w:p w14:paraId="56EFE6A4" w14:textId="77777777" w:rsidR="008D2F1A" w:rsidRDefault="008D2F1A" w:rsidP="000D5240">
            <w:pPr>
              <w:jc w:val="center"/>
            </w:pPr>
            <w:r>
              <w:t>(5)</w:t>
            </w:r>
          </w:p>
        </w:tc>
        <w:tc>
          <w:tcPr>
            <w:tcW w:w="2362" w:type="dxa"/>
          </w:tcPr>
          <w:p w14:paraId="4C7009E1" w14:textId="12E6142B" w:rsidR="008D2F1A" w:rsidRDefault="008D2F1A" w:rsidP="000D5240">
            <w:r>
              <w:t>10</w:t>
            </w:r>
          </w:p>
        </w:tc>
        <w:tc>
          <w:tcPr>
            <w:tcW w:w="2336" w:type="dxa"/>
          </w:tcPr>
          <w:p w14:paraId="0137D096" w14:textId="1FA07CBB" w:rsidR="008D2F1A" w:rsidRDefault="008D2F1A" w:rsidP="000D5240">
            <w:r>
              <w:t>60</w:t>
            </w:r>
          </w:p>
        </w:tc>
        <w:tc>
          <w:tcPr>
            <w:tcW w:w="2017" w:type="dxa"/>
          </w:tcPr>
          <w:p w14:paraId="5549C7C8" w14:textId="6ADDD3DE" w:rsidR="008D2F1A" w:rsidRDefault="008D2F1A" w:rsidP="000D5240">
            <w:r>
              <w:t>30</w:t>
            </w:r>
          </w:p>
        </w:tc>
      </w:tr>
      <w:tr w:rsidR="008D2F1A" w14:paraId="2DF73829" w14:textId="77777777" w:rsidTr="000D5240">
        <w:trPr>
          <w:trHeight w:val="340"/>
        </w:trPr>
        <w:tc>
          <w:tcPr>
            <w:tcW w:w="2301" w:type="dxa"/>
          </w:tcPr>
          <w:p w14:paraId="400B07BC" w14:textId="77777777" w:rsidR="008D2F1A" w:rsidRDefault="008D2F1A" w:rsidP="000D5240">
            <w:pPr>
              <w:jc w:val="center"/>
            </w:pPr>
            <w:r>
              <w:t>(6)</w:t>
            </w:r>
          </w:p>
        </w:tc>
        <w:tc>
          <w:tcPr>
            <w:tcW w:w="2362" w:type="dxa"/>
          </w:tcPr>
          <w:p w14:paraId="02348839" w14:textId="5B15E5DB" w:rsidR="008D2F1A" w:rsidRDefault="008D2F1A" w:rsidP="000D5240">
            <w:r>
              <w:t>5</w:t>
            </w:r>
          </w:p>
        </w:tc>
        <w:tc>
          <w:tcPr>
            <w:tcW w:w="2336" w:type="dxa"/>
          </w:tcPr>
          <w:p w14:paraId="345AACC7" w14:textId="23F12C4D" w:rsidR="008D2F1A" w:rsidRDefault="00402BC1" w:rsidP="000D5240">
            <w:r>
              <w:t>0</w:t>
            </w:r>
          </w:p>
        </w:tc>
        <w:tc>
          <w:tcPr>
            <w:tcW w:w="2017" w:type="dxa"/>
          </w:tcPr>
          <w:p w14:paraId="15A31F5F" w14:textId="68BF469C" w:rsidR="008D2F1A" w:rsidRDefault="00EF2880" w:rsidP="000D5240">
            <w:r>
              <w:t>95</w:t>
            </w:r>
          </w:p>
        </w:tc>
      </w:tr>
      <w:tr w:rsidR="008D2F1A" w14:paraId="5F55E4F1" w14:textId="77777777" w:rsidTr="000D5240">
        <w:trPr>
          <w:trHeight w:val="340"/>
        </w:trPr>
        <w:tc>
          <w:tcPr>
            <w:tcW w:w="2301" w:type="dxa"/>
          </w:tcPr>
          <w:p w14:paraId="00323CAA" w14:textId="77777777" w:rsidR="008D2F1A" w:rsidRDefault="008D2F1A" w:rsidP="000D5240">
            <w:pPr>
              <w:jc w:val="center"/>
            </w:pPr>
            <w:r>
              <w:t>(7)</w:t>
            </w:r>
          </w:p>
        </w:tc>
        <w:tc>
          <w:tcPr>
            <w:tcW w:w="2362" w:type="dxa"/>
          </w:tcPr>
          <w:p w14:paraId="224DE8FA" w14:textId="40F880AD" w:rsidR="008D2F1A" w:rsidRDefault="008D2F1A" w:rsidP="000D5240">
            <w:r>
              <w:t>10</w:t>
            </w:r>
          </w:p>
        </w:tc>
        <w:tc>
          <w:tcPr>
            <w:tcW w:w="2336" w:type="dxa"/>
          </w:tcPr>
          <w:p w14:paraId="21EF8089" w14:textId="186D541A" w:rsidR="008D2F1A" w:rsidRDefault="008D2F1A" w:rsidP="000D5240">
            <w:r>
              <w:t>35</w:t>
            </w:r>
          </w:p>
        </w:tc>
        <w:tc>
          <w:tcPr>
            <w:tcW w:w="2017" w:type="dxa"/>
          </w:tcPr>
          <w:p w14:paraId="7C22D518" w14:textId="35402876" w:rsidR="008D2F1A" w:rsidRDefault="008D2F1A" w:rsidP="000D5240">
            <w:r>
              <w:t>55</w:t>
            </w:r>
          </w:p>
        </w:tc>
      </w:tr>
      <w:tr w:rsidR="008D2F1A" w14:paraId="7FFD6082" w14:textId="77777777" w:rsidTr="000D5240">
        <w:trPr>
          <w:trHeight w:val="340"/>
        </w:trPr>
        <w:tc>
          <w:tcPr>
            <w:tcW w:w="2301" w:type="dxa"/>
          </w:tcPr>
          <w:p w14:paraId="3049191B" w14:textId="0A2519F1" w:rsidR="008D2F1A" w:rsidRDefault="008D2F1A" w:rsidP="000D5240">
            <w:pPr>
              <w:jc w:val="center"/>
            </w:pPr>
            <w:r>
              <w:t>(8)</w:t>
            </w:r>
          </w:p>
        </w:tc>
        <w:tc>
          <w:tcPr>
            <w:tcW w:w="2362" w:type="dxa"/>
          </w:tcPr>
          <w:p w14:paraId="7F54E2E4" w14:textId="795D077D" w:rsidR="008D2F1A" w:rsidRDefault="008D2F1A" w:rsidP="000D5240">
            <w:r>
              <w:t>20</w:t>
            </w:r>
          </w:p>
        </w:tc>
        <w:tc>
          <w:tcPr>
            <w:tcW w:w="2336" w:type="dxa"/>
          </w:tcPr>
          <w:p w14:paraId="76914CF8" w14:textId="00F53156" w:rsidR="008D2F1A" w:rsidRDefault="008D2F1A" w:rsidP="000D5240">
            <w:r>
              <w:t>30</w:t>
            </w:r>
          </w:p>
        </w:tc>
        <w:tc>
          <w:tcPr>
            <w:tcW w:w="2017" w:type="dxa"/>
          </w:tcPr>
          <w:p w14:paraId="3F42C7F2" w14:textId="59726B82" w:rsidR="008D2F1A" w:rsidRDefault="008D2F1A" w:rsidP="000D5240">
            <w:r>
              <w:t>50</w:t>
            </w:r>
          </w:p>
        </w:tc>
      </w:tr>
      <w:tr w:rsidR="008D2F1A" w14:paraId="5572BC6E" w14:textId="77777777" w:rsidTr="000D5240">
        <w:trPr>
          <w:trHeight w:val="340"/>
        </w:trPr>
        <w:tc>
          <w:tcPr>
            <w:tcW w:w="2301" w:type="dxa"/>
          </w:tcPr>
          <w:p w14:paraId="0C26ABB7" w14:textId="4C60E6A0" w:rsidR="008D2F1A" w:rsidRDefault="008D2F1A" w:rsidP="000D5240">
            <w:pPr>
              <w:jc w:val="center"/>
            </w:pPr>
            <w:r>
              <w:t>(9)</w:t>
            </w:r>
          </w:p>
        </w:tc>
        <w:tc>
          <w:tcPr>
            <w:tcW w:w="2362" w:type="dxa"/>
          </w:tcPr>
          <w:p w14:paraId="429655E2" w14:textId="15934E12" w:rsidR="008D2F1A" w:rsidRDefault="008D2F1A" w:rsidP="000D5240">
            <w:r>
              <w:t>20</w:t>
            </w:r>
          </w:p>
        </w:tc>
        <w:tc>
          <w:tcPr>
            <w:tcW w:w="2336" w:type="dxa"/>
          </w:tcPr>
          <w:p w14:paraId="1C69A71B" w14:textId="4F26C06F" w:rsidR="008D2F1A" w:rsidRDefault="008D2F1A" w:rsidP="000D5240">
            <w:r>
              <w:t>30</w:t>
            </w:r>
          </w:p>
        </w:tc>
        <w:tc>
          <w:tcPr>
            <w:tcW w:w="2017" w:type="dxa"/>
          </w:tcPr>
          <w:p w14:paraId="1C3C6EC8" w14:textId="1CB14F7F" w:rsidR="008D2F1A" w:rsidRDefault="008D2F1A" w:rsidP="000D5240">
            <w:r>
              <w:t>50</w:t>
            </w:r>
          </w:p>
        </w:tc>
      </w:tr>
      <w:tr w:rsidR="008D2F1A" w14:paraId="44AF0A25" w14:textId="77777777" w:rsidTr="000D5240">
        <w:trPr>
          <w:trHeight w:val="340"/>
        </w:trPr>
        <w:tc>
          <w:tcPr>
            <w:tcW w:w="2301" w:type="dxa"/>
          </w:tcPr>
          <w:p w14:paraId="40DEC2A4" w14:textId="3C7C6B2E" w:rsidR="008D2F1A" w:rsidRDefault="008D2F1A" w:rsidP="000D5240">
            <w:pPr>
              <w:jc w:val="center"/>
            </w:pPr>
            <w:r>
              <w:t>(10)</w:t>
            </w:r>
          </w:p>
        </w:tc>
        <w:tc>
          <w:tcPr>
            <w:tcW w:w="2362" w:type="dxa"/>
          </w:tcPr>
          <w:p w14:paraId="3CDDF3C8" w14:textId="59438790" w:rsidR="008D2F1A" w:rsidRDefault="008D2F1A" w:rsidP="000D5240">
            <w:r>
              <w:t>80</w:t>
            </w:r>
          </w:p>
        </w:tc>
        <w:tc>
          <w:tcPr>
            <w:tcW w:w="2336" w:type="dxa"/>
          </w:tcPr>
          <w:p w14:paraId="29DE1035" w14:textId="0EB483A5" w:rsidR="008D2F1A" w:rsidRDefault="008D2F1A" w:rsidP="000D5240">
            <w:r>
              <w:t>0</w:t>
            </w:r>
          </w:p>
        </w:tc>
        <w:tc>
          <w:tcPr>
            <w:tcW w:w="2017" w:type="dxa"/>
          </w:tcPr>
          <w:p w14:paraId="47207ED8" w14:textId="3E2B0CBC" w:rsidR="008D2F1A" w:rsidRDefault="008D2F1A" w:rsidP="000D5240">
            <w:r>
              <w:t>20</w:t>
            </w:r>
          </w:p>
        </w:tc>
      </w:tr>
    </w:tbl>
    <w:p w14:paraId="3615CA95" w14:textId="77777777" w:rsidR="00EF2880" w:rsidRDefault="00EF2880" w:rsidP="00C96A23"/>
    <w:p w14:paraId="72F06E3F" w14:textId="77777777" w:rsidR="00EF2880" w:rsidRDefault="00EF2880" w:rsidP="00C96A23">
      <w:pPr>
        <w:rPr>
          <w:rFonts w:asciiTheme="majorHAnsi" w:eastAsiaTheme="majorEastAsia" w:hAnsiTheme="majorHAnsi" w:cstheme="majorBidi"/>
          <w:color w:val="002060"/>
          <w:sz w:val="28"/>
        </w:rPr>
      </w:pPr>
      <w:r>
        <w:br w:type="page"/>
      </w:r>
    </w:p>
    <w:p w14:paraId="0E134C5F" w14:textId="379B5EE4" w:rsidR="00EF2880" w:rsidRDefault="00EF2880" w:rsidP="00EF2880">
      <w:pPr>
        <w:pStyle w:val="Heading3"/>
      </w:pPr>
      <w:r>
        <w:t>Table A</w:t>
      </w:r>
      <w:r w:rsidR="00C96A23">
        <w:t>6</w:t>
      </w:r>
      <w:r>
        <w:t xml:space="preserve"> – </w:t>
      </w:r>
      <w:r w:rsidR="00C96A23">
        <w:t xml:space="preserve">Retrofitted </w:t>
      </w:r>
      <w:r>
        <w:t>Class 1a Dwellings (Gold Level)</w:t>
      </w:r>
    </w:p>
    <w:tbl>
      <w:tblPr>
        <w:tblStyle w:val="TableGrid"/>
        <w:tblW w:w="0" w:type="auto"/>
        <w:tblLook w:val="04A0" w:firstRow="1" w:lastRow="0" w:firstColumn="1" w:lastColumn="0" w:noHBand="0" w:noVBand="1"/>
        <w:tblCaption w:val="Table A6 - Retrofitted Class 1a Dwelloings (Gold Level)"/>
        <w:tblDescription w:val="Table setting out scenario weightings for retrofitting Class 1a dwellings to LHDG Gold Level."/>
      </w:tblPr>
      <w:tblGrid>
        <w:gridCol w:w="2301"/>
        <w:gridCol w:w="2362"/>
        <w:gridCol w:w="2336"/>
        <w:gridCol w:w="2017"/>
      </w:tblGrid>
      <w:tr w:rsidR="00EF2880" w14:paraId="12D612E6" w14:textId="77777777" w:rsidTr="000D3298">
        <w:trPr>
          <w:tblHeader/>
        </w:trPr>
        <w:tc>
          <w:tcPr>
            <w:tcW w:w="2301" w:type="dxa"/>
            <w:shd w:val="clear" w:color="auto" w:fill="BFBFBF" w:themeFill="background1" w:themeFillShade="BF"/>
          </w:tcPr>
          <w:p w14:paraId="15658911" w14:textId="77777777" w:rsidR="00EF2880" w:rsidRPr="00163F60" w:rsidRDefault="00EF2880" w:rsidP="0085186E">
            <w:pPr>
              <w:rPr>
                <w:b/>
              </w:rPr>
            </w:pPr>
            <w:r>
              <w:rPr>
                <w:b/>
              </w:rPr>
              <w:t>Performance Requirement</w:t>
            </w:r>
          </w:p>
        </w:tc>
        <w:tc>
          <w:tcPr>
            <w:tcW w:w="2362" w:type="dxa"/>
            <w:shd w:val="clear" w:color="auto" w:fill="BFBFBF" w:themeFill="background1" w:themeFillShade="BF"/>
          </w:tcPr>
          <w:p w14:paraId="73481F9F" w14:textId="77777777" w:rsidR="00EF2880" w:rsidRDefault="00EF2880" w:rsidP="0085186E">
            <w:pPr>
              <w:jc w:val="left"/>
              <w:rPr>
                <w:b/>
              </w:rPr>
            </w:pPr>
            <w:r w:rsidRPr="00163F60">
              <w:rPr>
                <w:b/>
              </w:rPr>
              <w:t xml:space="preserve">Low Impact </w:t>
            </w:r>
          </w:p>
          <w:p w14:paraId="30F21DC9" w14:textId="77777777" w:rsidR="00EF2880" w:rsidRPr="00163F60" w:rsidRDefault="00EF2880" w:rsidP="0085186E">
            <w:pPr>
              <w:jc w:val="left"/>
              <w:rPr>
                <w:b/>
              </w:rPr>
            </w:pPr>
            <w:r w:rsidRPr="00163F60">
              <w:rPr>
                <w:b/>
              </w:rPr>
              <w:t>(% of dwellings)</w:t>
            </w:r>
          </w:p>
        </w:tc>
        <w:tc>
          <w:tcPr>
            <w:tcW w:w="2336" w:type="dxa"/>
            <w:shd w:val="clear" w:color="auto" w:fill="BFBFBF" w:themeFill="background1" w:themeFillShade="BF"/>
          </w:tcPr>
          <w:p w14:paraId="536D67C8" w14:textId="77777777" w:rsidR="00EF2880" w:rsidRDefault="00EF2880" w:rsidP="0085186E">
            <w:pPr>
              <w:jc w:val="left"/>
              <w:rPr>
                <w:b/>
              </w:rPr>
            </w:pPr>
            <w:r w:rsidRPr="00163F60">
              <w:rPr>
                <w:b/>
              </w:rPr>
              <w:t xml:space="preserve">Medium Impact </w:t>
            </w:r>
          </w:p>
          <w:p w14:paraId="2733539A" w14:textId="17643882" w:rsidR="00EF2880" w:rsidRPr="00163F60" w:rsidRDefault="00EF2880" w:rsidP="0085186E">
            <w:pPr>
              <w:jc w:val="left"/>
              <w:rPr>
                <w:b/>
              </w:rPr>
            </w:pPr>
            <w:r w:rsidRPr="00163F60">
              <w:rPr>
                <w:b/>
              </w:rPr>
              <w:t>(% of dwellings</w:t>
            </w:r>
            <w:r w:rsidR="000345E6">
              <w:rPr>
                <w:b/>
              </w:rPr>
              <w:t>)</w:t>
            </w:r>
          </w:p>
        </w:tc>
        <w:tc>
          <w:tcPr>
            <w:tcW w:w="2017" w:type="dxa"/>
            <w:shd w:val="clear" w:color="auto" w:fill="BFBFBF" w:themeFill="background1" w:themeFillShade="BF"/>
          </w:tcPr>
          <w:p w14:paraId="771AFCA8" w14:textId="77777777" w:rsidR="00EF2880" w:rsidRDefault="00EF2880" w:rsidP="0085186E">
            <w:pPr>
              <w:jc w:val="left"/>
              <w:rPr>
                <w:b/>
              </w:rPr>
            </w:pPr>
            <w:r w:rsidRPr="00163F60">
              <w:rPr>
                <w:b/>
              </w:rPr>
              <w:t xml:space="preserve">High Impact </w:t>
            </w:r>
          </w:p>
          <w:p w14:paraId="615B9E55" w14:textId="77777777" w:rsidR="00EF2880" w:rsidRPr="00163F60" w:rsidRDefault="00EF2880" w:rsidP="0085186E">
            <w:pPr>
              <w:jc w:val="left"/>
              <w:rPr>
                <w:b/>
              </w:rPr>
            </w:pPr>
            <w:r w:rsidRPr="00163F60">
              <w:rPr>
                <w:b/>
              </w:rPr>
              <w:t>(% of Dwellings)</w:t>
            </w:r>
          </w:p>
        </w:tc>
      </w:tr>
      <w:tr w:rsidR="00EF2880" w14:paraId="265B67A8" w14:textId="77777777" w:rsidTr="0085186E">
        <w:trPr>
          <w:trHeight w:val="340"/>
        </w:trPr>
        <w:tc>
          <w:tcPr>
            <w:tcW w:w="2301" w:type="dxa"/>
          </w:tcPr>
          <w:p w14:paraId="399FCA3C" w14:textId="77777777" w:rsidR="00EF2880" w:rsidRDefault="00EF2880" w:rsidP="0085186E">
            <w:pPr>
              <w:jc w:val="center"/>
            </w:pPr>
            <w:r>
              <w:t>(1)</w:t>
            </w:r>
          </w:p>
        </w:tc>
        <w:tc>
          <w:tcPr>
            <w:tcW w:w="2362" w:type="dxa"/>
          </w:tcPr>
          <w:p w14:paraId="421E40FB" w14:textId="77777777" w:rsidR="00EF2880" w:rsidRDefault="00EF2880" w:rsidP="0085186E">
            <w:r>
              <w:t>25</w:t>
            </w:r>
          </w:p>
        </w:tc>
        <w:tc>
          <w:tcPr>
            <w:tcW w:w="2336" w:type="dxa"/>
          </w:tcPr>
          <w:p w14:paraId="1DAFA737" w14:textId="77777777" w:rsidR="00EF2880" w:rsidRDefault="00EF2880" w:rsidP="0085186E">
            <w:r>
              <w:t>55</w:t>
            </w:r>
          </w:p>
        </w:tc>
        <w:tc>
          <w:tcPr>
            <w:tcW w:w="2017" w:type="dxa"/>
          </w:tcPr>
          <w:p w14:paraId="76AEAE23" w14:textId="77777777" w:rsidR="00EF2880" w:rsidRDefault="00EF2880" w:rsidP="0085186E">
            <w:r>
              <w:t>20</w:t>
            </w:r>
          </w:p>
        </w:tc>
      </w:tr>
      <w:tr w:rsidR="00EF2880" w14:paraId="2B2B32DD" w14:textId="77777777" w:rsidTr="0085186E">
        <w:trPr>
          <w:trHeight w:val="340"/>
        </w:trPr>
        <w:tc>
          <w:tcPr>
            <w:tcW w:w="2301" w:type="dxa"/>
          </w:tcPr>
          <w:p w14:paraId="1BA46416" w14:textId="77777777" w:rsidR="00EF2880" w:rsidRDefault="00EF2880" w:rsidP="0085186E">
            <w:pPr>
              <w:jc w:val="center"/>
            </w:pPr>
            <w:r>
              <w:t>(2)</w:t>
            </w:r>
          </w:p>
        </w:tc>
        <w:tc>
          <w:tcPr>
            <w:tcW w:w="2362" w:type="dxa"/>
          </w:tcPr>
          <w:p w14:paraId="0CA0617C" w14:textId="77777777" w:rsidR="00EF2880" w:rsidRDefault="00EF2880" w:rsidP="0085186E">
            <w:r>
              <w:t>20</w:t>
            </w:r>
          </w:p>
        </w:tc>
        <w:tc>
          <w:tcPr>
            <w:tcW w:w="2336" w:type="dxa"/>
          </w:tcPr>
          <w:p w14:paraId="7FC87C14" w14:textId="77777777" w:rsidR="00EF2880" w:rsidRDefault="00EF2880" w:rsidP="0085186E">
            <w:r>
              <w:t>40</w:t>
            </w:r>
          </w:p>
        </w:tc>
        <w:tc>
          <w:tcPr>
            <w:tcW w:w="2017" w:type="dxa"/>
          </w:tcPr>
          <w:p w14:paraId="494D07A5" w14:textId="77777777" w:rsidR="00EF2880" w:rsidRDefault="00EF2880" w:rsidP="0085186E">
            <w:r>
              <w:t>40</w:t>
            </w:r>
          </w:p>
        </w:tc>
      </w:tr>
      <w:tr w:rsidR="00EF2880" w14:paraId="7DE05F15" w14:textId="77777777" w:rsidTr="0085186E">
        <w:trPr>
          <w:trHeight w:val="340"/>
        </w:trPr>
        <w:tc>
          <w:tcPr>
            <w:tcW w:w="2301" w:type="dxa"/>
          </w:tcPr>
          <w:p w14:paraId="334B0DAB" w14:textId="77777777" w:rsidR="00EF2880" w:rsidRDefault="00EF2880" w:rsidP="0085186E">
            <w:pPr>
              <w:jc w:val="center"/>
            </w:pPr>
            <w:r>
              <w:t>(3)</w:t>
            </w:r>
          </w:p>
        </w:tc>
        <w:tc>
          <w:tcPr>
            <w:tcW w:w="2362" w:type="dxa"/>
          </w:tcPr>
          <w:p w14:paraId="61583A9A" w14:textId="77777777" w:rsidR="00EF2880" w:rsidRDefault="00EF2880" w:rsidP="0085186E">
            <w:r>
              <w:t>10</w:t>
            </w:r>
          </w:p>
        </w:tc>
        <w:tc>
          <w:tcPr>
            <w:tcW w:w="2336" w:type="dxa"/>
          </w:tcPr>
          <w:p w14:paraId="10CD0BDA" w14:textId="77777777" w:rsidR="00EF2880" w:rsidRDefault="00EF2880" w:rsidP="0085186E">
            <w:r>
              <w:t>60</w:t>
            </w:r>
          </w:p>
        </w:tc>
        <w:tc>
          <w:tcPr>
            <w:tcW w:w="2017" w:type="dxa"/>
          </w:tcPr>
          <w:p w14:paraId="254C5EDF" w14:textId="77777777" w:rsidR="00EF2880" w:rsidRDefault="00EF2880" w:rsidP="0085186E">
            <w:r>
              <w:t>30</w:t>
            </w:r>
          </w:p>
        </w:tc>
      </w:tr>
      <w:tr w:rsidR="00EF2880" w14:paraId="4B5840B7" w14:textId="77777777" w:rsidTr="0085186E">
        <w:trPr>
          <w:trHeight w:val="340"/>
        </w:trPr>
        <w:tc>
          <w:tcPr>
            <w:tcW w:w="2301" w:type="dxa"/>
          </w:tcPr>
          <w:p w14:paraId="23ACB32C" w14:textId="77777777" w:rsidR="00EF2880" w:rsidRDefault="00EF2880" w:rsidP="0085186E">
            <w:pPr>
              <w:jc w:val="center"/>
            </w:pPr>
            <w:r>
              <w:t>(4)</w:t>
            </w:r>
          </w:p>
        </w:tc>
        <w:tc>
          <w:tcPr>
            <w:tcW w:w="2362" w:type="dxa"/>
          </w:tcPr>
          <w:p w14:paraId="33627348" w14:textId="77777777" w:rsidR="00EF2880" w:rsidRDefault="00EF2880" w:rsidP="0085186E">
            <w:r>
              <w:t>10</w:t>
            </w:r>
          </w:p>
        </w:tc>
        <w:tc>
          <w:tcPr>
            <w:tcW w:w="2336" w:type="dxa"/>
          </w:tcPr>
          <w:p w14:paraId="62ED51E4" w14:textId="73138C5D" w:rsidR="00EF2880" w:rsidRDefault="00C96A23" w:rsidP="0085186E">
            <w:r>
              <w:t>6</w:t>
            </w:r>
            <w:r w:rsidR="00EF2880">
              <w:t>5</w:t>
            </w:r>
          </w:p>
        </w:tc>
        <w:tc>
          <w:tcPr>
            <w:tcW w:w="2017" w:type="dxa"/>
          </w:tcPr>
          <w:p w14:paraId="456B95A2" w14:textId="4FFCB4E9" w:rsidR="00EF2880" w:rsidRDefault="00C96A23" w:rsidP="0085186E">
            <w:r>
              <w:t>2</w:t>
            </w:r>
            <w:r w:rsidR="00EF2880">
              <w:t>5</w:t>
            </w:r>
          </w:p>
        </w:tc>
      </w:tr>
      <w:tr w:rsidR="00EF2880" w14:paraId="586B5C15" w14:textId="77777777" w:rsidTr="0085186E">
        <w:trPr>
          <w:trHeight w:val="340"/>
        </w:trPr>
        <w:tc>
          <w:tcPr>
            <w:tcW w:w="2301" w:type="dxa"/>
          </w:tcPr>
          <w:p w14:paraId="13B796A8" w14:textId="77777777" w:rsidR="00EF2880" w:rsidRDefault="00EF2880" w:rsidP="0085186E">
            <w:pPr>
              <w:jc w:val="center"/>
            </w:pPr>
            <w:r>
              <w:t>(5)</w:t>
            </w:r>
          </w:p>
        </w:tc>
        <w:tc>
          <w:tcPr>
            <w:tcW w:w="2362" w:type="dxa"/>
          </w:tcPr>
          <w:p w14:paraId="051B6D46" w14:textId="77777777" w:rsidR="00EF2880" w:rsidRDefault="00EF2880" w:rsidP="0085186E">
            <w:r>
              <w:t>10</w:t>
            </w:r>
          </w:p>
        </w:tc>
        <w:tc>
          <w:tcPr>
            <w:tcW w:w="2336" w:type="dxa"/>
          </w:tcPr>
          <w:p w14:paraId="083BB96D" w14:textId="77777777" w:rsidR="00EF2880" w:rsidRDefault="00EF2880" w:rsidP="0085186E">
            <w:r>
              <w:t>60</w:t>
            </w:r>
          </w:p>
        </w:tc>
        <w:tc>
          <w:tcPr>
            <w:tcW w:w="2017" w:type="dxa"/>
          </w:tcPr>
          <w:p w14:paraId="76453767" w14:textId="77777777" w:rsidR="00EF2880" w:rsidRDefault="00EF2880" w:rsidP="0085186E">
            <w:r>
              <w:t>30</w:t>
            </w:r>
          </w:p>
        </w:tc>
      </w:tr>
      <w:tr w:rsidR="00EF2880" w14:paraId="1B4E91BA" w14:textId="77777777" w:rsidTr="0085186E">
        <w:trPr>
          <w:trHeight w:val="340"/>
        </w:trPr>
        <w:tc>
          <w:tcPr>
            <w:tcW w:w="2301" w:type="dxa"/>
          </w:tcPr>
          <w:p w14:paraId="29B88099" w14:textId="77777777" w:rsidR="00EF2880" w:rsidRDefault="00EF2880" w:rsidP="0085186E">
            <w:pPr>
              <w:jc w:val="center"/>
            </w:pPr>
            <w:r>
              <w:t>(6)</w:t>
            </w:r>
          </w:p>
        </w:tc>
        <w:tc>
          <w:tcPr>
            <w:tcW w:w="2362" w:type="dxa"/>
          </w:tcPr>
          <w:p w14:paraId="262A47CC" w14:textId="77777777" w:rsidR="00EF2880" w:rsidRDefault="00EF2880" w:rsidP="0085186E">
            <w:r>
              <w:t>5</w:t>
            </w:r>
          </w:p>
        </w:tc>
        <w:tc>
          <w:tcPr>
            <w:tcW w:w="2336" w:type="dxa"/>
          </w:tcPr>
          <w:p w14:paraId="3F112B43" w14:textId="2B11BD3C" w:rsidR="00EF2880" w:rsidRDefault="00437BF7" w:rsidP="0085186E">
            <w:r>
              <w:t>0</w:t>
            </w:r>
          </w:p>
        </w:tc>
        <w:tc>
          <w:tcPr>
            <w:tcW w:w="2017" w:type="dxa"/>
          </w:tcPr>
          <w:p w14:paraId="10B56E21" w14:textId="77777777" w:rsidR="00EF2880" w:rsidRDefault="00EF2880" w:rsidP="0085186E">
            <w:r>
              <w:t>95</w:t>
            </w:r>
          </w:p>
        </w:tc>
      </w:tr>
      <w:tr w:rsidR="00EF2880" w14:paraId="7D414C55" w14:textId="77777777" w:rsidTr="0085186E">
        <w:trPr>
          <w:trHeight w:val="340"/>
        </w:trPr>
        <w:tc>
          <w:tcPr>
            <w:tcW w:w="2301" w:type="dxa"/>
          </w:tcPr>
          <w:p w14:paraId="303946B7" w14:textId="77777777" w:rsidR="00EF2880" w:rsidRDefault="00EF2880" w:rsidP="0085186E">
            <w:pPr>
              <w:jc w:val="center"/>
            </w:pPr>
            <w:r>
              <w:t>(7)</w:t>
            </w:r>
          </w:p>
        </w:tc>
        <w:tc>
          <w:tcPr>
            <w:tcW w:w="2362" w:type="dxa"/>
          </w:tcPr>
          <w:p w14:paraId="205AB286" w14:textId="77777777" w:rsidR="00EF2880" w:rsidRDefault="00EF2880" w:rsidP="0085186E">
            <w:r>
              <w:t>10</w:t>
            </w:r>
          </w:p>
        </w:tc>
        <w:tc>
          <w:tcPr>
            <w:tcW w:w="2336" w:type="dxa"/>
          </w:tcPr>
          <w:p w14:paraId="527F8290" w14:textId="77777777" w:rsidR="00EF2880" w:rsidRDefault="00EF2880" w:rsidP="0085186E">
            <w:r>
              <w:t>35</w:t>
            </w:r>
          </w:p>
        </w:tc>
        <w:tc>
          <w:tcPr>
            <w:tcW w:w="2017" w:type="dxa"/>
          </w:tcPr>
          <w:p w14:paraId="00C0BDE3" w14:textId="77777777" w:rsidR="00EF2880" w:rsidRDefault="00EF2880" w:rsidP="0085186E">
            <w:r>
              <w:t>55</w:t>
            </w:r>
          </w:p>
        </w:tc>
      </w:tr>
      <w:tr w:rsidR="00EF2880" w14:paraId="243C6047" w14:textId="77777777" w:rsidTr="0085186E">
        <w:trPr>
          <w:trHeight w:val="340"/>
        </w:trPr>
        <w:tc>
          <w:tcPr>
            <w:tcW w:w="2301" w:type="dxa"/>
          </w:tcPr>
          <w:p w14:paraId="4D1A52CA" w14:textId="77777777" w:rsidR="00EF2880" w:rsidRDefault="00EF2880" w:rsidP="0085186E">
            <w:pPr>
              <w:jc w:val="center"/>
            </w:pPr>
            <w:r>
              <w:t>(8)</w:t>
            </w:r>
          </w:p>
        </w:tc>
        <w:tc>
          <w:tcPr>
            <w:tcW w:w="2362" w:type="dxa"/>
          </w:tcPr>
          <w:p w14:paraId="05E6E2C8" w14:textId="77777777" w:rsidR="00EF2880" w:rsidRDefault="00EF2880" w:rsidP="0085186E">
            <w:r>
              <w:t>20</w:t>
            </w:r>
          </w:p>
        </w:tc>
        <w:tc>
          <w:tcPr>
            <w:tcW w:w="2336" w:type="dxa"/>
          </w:tcPr>
          <w:p w14:paraId="0596CC81" w14:textId="77777777" w:rsidR="00EF2880" w:rsidRDefault="00EF2880" w:rsidP="0085186E">
            <w:r>
              <w:t>30</w:t>
            </w:r>
          </w:p>
        </w:tc>
        <w:tc>
          <w:tcPr>
            <w:tcW w:w="2017" w:type="dxa"/>
          </w:tcPr>
          <w:p w14:paraId="05302D09" w14:textId="77777777" w:rsidR="00EF2880" w:rsidRDefault="00EF2880" w:rsidP="0085186E">
            <w:r>
              <w:t>50</w:t>
            </w:r>
          </w:p>
        </w:tc>
      </w:tr>
      <w:tr w:rsidR="00EF2880" w14:paraId="45A756A9" w14:textId="77777777" w:rsidTr="0085186E">
        <w:trPr>
          <w:trHeight w:val="340"/>
        </w:trPr>
        <w:tc>
          <w:tcPr>
            <w:tcW w:w="2301" w:type="dxa"/>
          </w:tcPr>
          <w:p w14:paraId="3B464B80" w14:textId="77777777" w:rsidR="00EF2880" w:rsidRDefault="00EF2880" w:rsidP="0085186E">
            <w:pPr>
              <w:jc w:val="center"/>
            </w:pPr>
            <w:r>
              <w:t>(9)</w:t>
            </w:r>
          </w:p>
        </w:tc>
        <w:tc>
          <w:tcPr>
            <w:tcW w:w="2362" w:type="dxa"/>
          </w:tcPr>
          <w:p w14:paraId="12CB40D3" w14:textId="77777777" w:rsidR="00EF2880" w:rsidRDefault="00EF2880" w:rsidP="0085186E">
            <w:r>
              <w:t>20</w:t>
            </w:r>
          </w:p>
        </w:tc>
        <w:tc>
          <w:tcPr>
            <w:tcW w:w="2336" w:type="dxa"/>
          </w:tcPr>
          <w:p w14:paraId="1A829188" w14:textId="77777777" w:rsidR="00EF2880" w:rsidRDefault="00EF2880" w:rsidP="0085186E">
            <w:r>
              <w:t>30</w:t>
            </w:r>
          </w:p>
        </w:tc>
        <w:tc>
          <w:tcPr>
            <w:tcW w:w="2017" w:type="dxa"/>
          </w:tcPr>
          <w:p w14:paraId="1E15CEB2" w14:textId="77777777" w:rsidR="00EF2880" w:rsidRDefault="00EF2880" w:rsidP="0085186E">
            <w:r>
              <w:t>50</w:t>
            </w:r>
          </w:p>
        </w:tc>
      </w:tr>
      <w:tr w:rsidR="00EF2880" w14:paraId="52C0F1BA" w14:textId="77777777" w:rsidTr="0085186E">
        <w:trPr>
          <w:trHeight w:val="340"/>
        </w:trPr>
        <w:tc>
          <w:tcPr>
            <w:tcW w:w="2301" w:type="dxa"/>
          </w:tcPr>
          <w:p w14:paraId="3FB45C9F" w14:textId="77777777" w:rsidR="00EF2880" w:rsidRDefault="00EF2880" w:rsidP="0085186E">
            <w:pPr>
              <w:jc w:val="center"/>
            </w:pPr>
            <w:r>
              <w:t>(10)</w:t>
            </w:r>
          </w:p>
        </w:tc>
        <w:tc>
          <w:tcPr>
            <w:tcW w:w="2362" w:type="dxa"/>
          </w:tcPr>
          <w:p w14:paraId="055227B1" w14:textId="77777777" w:rsidR="00EF2880" w:rsidRDefault="00EF2880" w:rsidP="0085186E">
            <w:r>
              <w:t>80</w:t>
            </w:r>
          </w:p>
        </w:tc>
        <w:tc>
          <w:tcPr>
            <w:tcW w:w="2336" w:type="dxa"/>
          </w:tcPr>
          <w:p w14:paraId="3BC9624E" w14:textId="77777777" w:rsidR="00EF2880" w:rsidRDefault="00EF2880" w:rsidP="0085186E">
            <w:r>
              <w:t>0</w:t>
            </w:r>
          </w:p>
        </w:tc>
        <w:tc>
          <w:tcPr>
            <w:tcW w:w="2017" w:type="dxa"/>
          </w:tcPr>
          <w:p w14:paraId="37CD1C3C" w14:textId="77777777" w:rsidR="00EF2880" w:rsidRDefault="00EF2880" w:rsidP="0085186E">
            <w:r>
              <w:t>20</w:t>
            </w:r>
          </w:p>
        </w:tc>
      </w:tr>
    </w:tbl>
    <w:p w14:paraId="42035A45" w14:textId="77777777" w:rsidR="003540B9" w:rsidRDefault="003540B9" w:rsidP="008D2F1A"/>
    <w:p w14:paraId="31C3B7A2" w14:textId="19ECB0E3" w:rsidR="003540B9" w:rsidRDefault="003540B9" w:rsidP="003540B9">
      <w:pPr>
        <w:pStyle w:val="Heading3"/>
      </w:pPr>
      <w:r>
        <w:t>Table A</w:t>
      </w:r>
      <w:r w:rsidR="00C96A23">
        <w:t>7</w:t>
      </w:r>
      <w:r>
        <w:t xml:space="preserve"> –</w:t>
      </w:r>
      <w:r w:rsidR="00C96A23">
        <w:t xml:space="preserve"> New </w:t>
      </w:r>
      <w:r>
        <w:t>Class 2 Apartments (Gold Level)</w:t>
      </w:r>
    </w:p>
    <w:tbl>
      <w:tblPr>
        <w:tblStyle w:val="TableGrid"/>
        <w:tblW w:w="0" w:type="auto"/>
        <w:tblLook w:val="04A0" w:firstRow="1" w:lastRow="0" w:firstColumn="1" w:lastColumn="0" w:noHBand="0" w:noVBand="1"/>
        <w:tblCaption w:val="Table A7 - New Class 2 Apartments (Gold Level)"/>
        <w:tblDescription w:val="Table setting out scenarion weightings for new Class 2 apartments to LHDG Gold Level."/>
      </w:tblPr>
      <w:tblGrid>
        <w:gridCol w:w="2301"/>
        <w:gridCol w:w="2362"/>
        <w:gridCol w:w="2336"/>
        <w:gridCol w:w="2017"/>
      </w:tblGrid>
      <w:tr w:rsidR="003540B9" w14:paraId="6FE7DAE5" w14:textId="77777777" w:rsidTr="000D3298">
        <w:trPr>
          <w:tblHeader/>
        </w:trPr>
        <w:tc>
          <w:tcPr>
            <w:tcW w:w="2301" w:type="dxa"/>
            <w:shd w:val="clear" w:color="auto" w:fill="BFBFBF" w:themeFill="background1" w:themeFillShade="BF"/>
          </w:tcPr>
          <w:p w14:paraId="7D87FBC0" w14:textId="77777777" w:rsidR="003540B9" w:rsidRPr="00163F60" w:rsidRDefault="003540B9" w:rsidP="000D5240">
            <w:pPr>
              <w:rPr>
                <w:b/>
              </w:rPr>
            </w:pPr>
            <w:r>
              <w:rPr>
                <w:b/>
              </w:rPr>
              <w:t>Performance Requirement</w:t>
            </w:r>
          </w:p>
        </w:tc>
        <w:tc>
          <w:tcPr>
            <w:tcW w:w="2362" w:type="dxa"/>
            <w:shd w:val="clear" w:color="auto" w:fill="BFBFBF" w:themeFill="background1" w:themeFillShade="BF"/>
          </w:tcPr>
          <w:p w14:paraId="64D1E8BD" w14:textId="77777777" w:rsidR="003540B9" w:rsidRDefault="003540B9" w:rsidP="000D5240">
            <w:pPr>
              <w:jc w:val="left"/>
              <w:rPr>
                <w:b/>
              </w:rPr>
            </w:pPr>
            <w:r w:rsidRPr="00163F60">
              <w:rPr>
                <w:b/>
              </w:rPr>
              <w:t xml:space="preserve">Low Impact </w:t>
            </w:r>
          </w:p>
          <w:p w14:paraId="63DA7B64" w14:textId="77777777" w:rsidR="003540B9" w:rsidRPr="00163F60" w:rsidRDefault="003540B9" w:rsidP="000D5240">
            <w:pPr>
              <w:jc w:val="left"/>
              <w:rPr>
                <w:b/>
              </w:rPr>
            </w:pPr>
            <w:r w:rsidRPr="00163F60">
              <w:rPr>
                <w:b/>
              </w:rPr>
              <w:t>(% of dwellings)</w:t>
            </w:r>
          </w:p>
        </w:tc>
        <w:tc>
          <w:tcPr>
            <w:tcW w:w="2336" w:type="dxa"/>
            <w:shd w:val="clear" w:color="auto" w:fill="BFBFBF" w:themeFill="background1" w:themeFillShade="BF"/>
          </w:tcPr>
          <w:p w14:paraId="4FBC9846" w14:textId="77777777" w:rsidR="003540B9" w:rsidRDefault="003540B9" w:rsidP="000D5240">
            <w:pPr>
              <w:jc w:val="left"/>
              <w:rPr>
                <w:b/>
              </w:rPr>
            </w:pPr>
            <w:r w:rsidRPr="00163F60">
              <w:rPr>
                <w:b/>
              </w:rPr>
              <w:t xml:space="preserve">Medium Impact </w:t>
            </w:r>
          </w:p>
          <w:p w14:paraId="112A9351" w14:textId="2ECD6C1E" w:rsidR="003540B9" w:rsidRPr="00163F60" w:rsidRDefault="003540B9" w:rsidP="000D5240">
            <w:pPr>
              <w:jc w:val="left"/>
              <w:rPr>
                <w:b/>
              </w:rPr>
            </w:pPr>
            <w:r w:rsidRPr="00163F60">
              <w:rPr>
                <w:b/>
              </w:rPr>
              <w:t>(% of dwellings</w:t>
            </w:r>
            <w:r w:rsidR="000345E6">
              <w:rPr>
                <w:b/>
              </w:rPr>
              <w:t>)</w:t>
            </w:r>
          </w:p>
        </w:tc>
        <w:tc>
          <w:tcPr>
            <w:tcW w:w="2017" w:type="dxa"/>
            <w:shd w:val="clear" w:color="auto" w:fill="BFBFBF" w:themeFill="background1" w:themeFillShade="BF"/>
          </w:tcPr>
          <w:p w14:paraId="296254C2" w14:textId="77777777" w:rsidR="003540B9" w:rsidRDefault="003540B9" w:rsidP="000D5240">
            <w:pPr>
              <w:jc w:val="left"/>
              <w:rPr>
                <w:b/>
              </w:rPr>
            </w:pPr>
            <w:r w:rsidRPr="00163F60">
              <w:rPr>
                <w:b/>
              </w:rPr>
              <w:t xml:space="preserve">High Impact </w:t>
            </w:r>
          </w:p>
          <w:p w14:paraId="3C5A5125" w14:textId="77777777" w:rsidR="003540B9" w:rsidRPr="00163F60" w:rsidRDefault="003540B9" w:rsidP="000D5240">
            <w:pPr>
              <w:jc w:val="left"/>
              <w:rPr>
                <w:b/>
              </w:rPr>
            </w:pPr>
            <w:r w:rsidRPr="00163F60">
              <w:rPr>
                <w:b/>
              </w:rPr>
              <w:t>(% of Dwellings)</w:t>
            </w:r>
          </w:p>
        </w:tc>
      </w:tr>
      <w:tr w:rsidR="003540B9" w14:paraId="7392E01A" w14:textId="77777777" w:rsidTr="000D5240">
        <w:trPr>
          <w:trHeight w:val="340"/>
        </w:trPr>
        <w:tc>
          <w:tcPr>
            <w:tcW w:w="2301" w:type="dxa"/>
          </w:tcPr>
          <w:p w14:paraId="2CC576F5" w14:textId="77777777" w:rsidR="003540B9" w:rsidRDefault="003540B9" w:rsidP="000D5240">
            <w:pPr>
              <w:jc w:val="center"/>
            </w:pPr>
            <w:r>
              <w:t>(1)</w:t>
            </w:r>
          </w:p>
        </w:tc>
        <w:tc>
          <w:tcPr>
            <w:tcW w:w="2362" w:type="dxa"/>
          </w:tcPr>
          <w:p w14:paraId="2E7160E8" w14:textId="7EA1DE92" w:rsidR="003540B9" w:rsidRDefault="00ED3C8E" w:rsidP="000D5240">
            <w:r>
              <w:t>20</w:t>
            </w:r>
          </w:p>
        </w:tc>
        <w:tc>
          <w:tcPr>
            <w:tcW w:w="2336" w:type="dxa"/>
          </w:tcPr>
          <w:p w14:paraId="4E9F7E32" w14:textId="7FAAA760" w:rsidR="003540B9" w:rsidRDefault="00ED3C8E" w:rsidP="000D5240">
            <w:r>
              <w:t>30</w:t>
            </w:r>
          </w:p>
        </w:tc>
        <w:tc>
          <w:tcPr>
            <w:tcW w:w="2017" w:type="dxa"/>
          </w:tcPr>
          <w:p w14:paraId="57B91CCE" w14:textId="3B4F7EE8" w:rsidR="003540B9" w:rsidRDefault="00ED3C8E" w:rsidP="000D5240">
            <w:r>
              <w:t>50</w:t>
            </w:r>
          </w:p>
        </w:tc>
      </w:tr>
      <w:tr w:rsidR="003540B9" w14:paraId="59CD1413" w14:textId="77777777" w:rsidTr="000D5240">
        <w:trPr>
          <w:trHeight w:val="340"/>
        </w:trPr>
        <w:tc>
          <w:tcPr>
            <w:tcW w:w="2301" w:type="dxa"/>
          </w:tcPr>
          <w:p w14:paraId="64AC3A68" w14:textId="77777777" w:rsidR="003540B9" w:rsidRDefault="003540B9" w:rsidP="000D5240">
            <w:pPr>
              <w:jc w:val="center"/>
            </w:pPr>
            <w:r>
              <w:t>(2)</w:t>
            </w:r>
          </w:p>
        </w:tc>
        <w:tc>
          <w:tcPr>
            <w:tcW w:w="2362" w:type="dxa"/>
          </w:tcPr>
          <w:p w14:paraId="3E499673" w14:textId="5229E5FE" w:rsidR="003540B9" w:rsidRDefault="00ED3C8E" w:rsidP="000D5240">
            <w:r>
              <w:t>10</w:t>
            </w:r>
          </w:p>
        </w:tc>
        <w:tc>
          <w:tcPr>
            <w:tcW w:w="2336" w:type="dxa"/>
          </w:tcPr>
          <w:p w14:paraId="281D9E7C" w14:textId="284AAC10" w:rsidR="003540B9" w:rsidRDefault="00ED3C8E" w:rsidP="000D5240">
            <w:r>
              <w:t>0</w:t>
            </w:r>
          </w:p>
        </w:tc>
        <w:tc>
          <w:tcPr>
            <w:tcW w:w="2017" w:type="dxa"/>
          </w:tcPr>
          <w:p w14:paraId="1355B352" w14:textId="074EC0D3" w:rsidR="003540B9" w:rsidRDefault="00EF2880" w:rsidP="000D5240">
            <w:r>
              <w:t>9</w:t>
            </w:r>
            <w:r w:rsidR="00ED3C8E">
              <w:t>0</w:t>
            </w:r>
          </w:p>
        </w:tc>
      </w:tr>
      <w:tr w:rsidR="003540B9" w14:paraId="65CBFD37" w14:textId="77777777" w:rsidTr="000D5240">
        <w:trPr>
          <w:trHeight w:val="340"/>
        </w:trPr>
        <w:tc>
          <w:tcPr>
            <w:tcW w:w="2301" w:type="dxa"/>
          </w:tcPr>
          <w:p w14:paraId="2B87FB17" w14:textId="77777777" w:rsidR="003540B9" w:rsidRDefault="003540B9" w:rsidP="000D5240">
            <w:pPr>
              <w:jc w:val="center"/>
            </w:pPr>
            <w:r>
              <w:t>(3)</w:t>
            </w:r>
          </w:p>
        </w:tc>
        <w:tc>
          <w:tcPr>
            <w:tcW w:w="2362" w:type="dxa"/>
          </w:tcPr>
          <w:p w14:paraId="1AB86132" w14:textId="4B29675B" w:rsidR="003540B9" w:rsidRDefault="00ED3C8E" w:rsidP="000D5240">
            <w:r>
              <w:t>10</w:t>
            </w:r>
          </w:p>
        </w:tc>
        <w:tc>
          <w:tcPr>
            <w:tcW w:w="2336" w:type="dxa"/>
          </w:tcPr>
          <w:p w14:paraId="2E758BB7" w14:textId="1EAD193C" w:rsidR="003540B9" w:rsidRDefault="00ED3C8E" w:rsidP="000D5240">
            <w:r>
              <w:t>30</w:t>
            </w:r>
          </w:p>
        </w:tc>
        <w:tc>
          <w:tcPr>
            <w:tcW w:w="2017" w:type="dxa"/>
          </w:tcPr>
          <w:p w14:paraId="6E7DA912" w14:textId="54F5679D" w:rsidR="003540B9" w:rsidRDefault="00ED3C8E" w:rsidP="000D5240">
            <w:r>
              <w:t>60</w:t>
            </w:r>
          </w:p>
        </w:tc>
      </w:tr>
      <w:tr w:rsidR="003540B9" w14:paraId="4719CA64" w14:textId="77777777" w:rsidTr="000D5240">
        <w:trPr>
          <w:trHeight w:val="340"/>
        </w:trPr>
        <w:tc>
          <w:tcPr>
            <w:tcW w:w="2301" w:type="dxa"/>
          </w:tcPr>
          <w:p w14:paraId="5DBE138D" w14:textId="77777777" w:rsidR="003540B9" w:rsidRDefault="003540B9" w:rsidP="000D5240">
            <w:pPr>
              <w:jc w:val="center"/>
            </w:pPr>
            <w:r>
              <w:t>(4)</w:t>
            </w:r>
          </w:p>
        </w:tc>
        <w:tc>
          <w:tcPr>
            <w:tcW w:w="2362" w:type="dxa"/>
          </w:tcPr>
          <w:p w14:paraId="6000E9A1" w14:textId="67A2DC35" w:rsidR="003540B9" w:rsidRDefault="00ED3C8E" w:rsidP="000D5240">
            <w:r>
              <w:t>20</w:t>
            </w:r>
          </w:p>
        </w:tc>
        <w:tc>
          <w:tcPr>
            <w:tcW w:w="2336" w:type="dxa"/>
          </w:tcPr>
          <w:p w14:paraId="1E0FA46D" w14:textId="35FF9CAC" w:rsidR="003540B9" w:rsidRDefault="00ED3C8E" w:rsidP="000D5240">
            <w:r>
              <w:t>75</w:t>
            </w:r>
          </w:p>
        </w:tc>
        <w:tc>
          <w:tcPr>
            <w:tcW w:w="2017" w:type="dxa"/>
          </w:tcPr>
          <w:p w14:paraId="5923A264" w14:textId="2A2A52EB" w:rsidR="003540B9" w:rsidRDefault="00ED3C8E" w:rsidP="000D5240">
            <w:r>
              <w:t>5</w:t>
            </w:r>
          </w:p>
        </w:tc>
      </w:tr>
      <w:tr w:rsidR="003540B9" w14:paraId="318D1A12" w14:textId="77777777" w:rsidTr="000D5240">
        <w:trPr>
          <w:trHeight w:val="340"/>
        </w:trPr>
        <w:tc>
          <w:tcPr>
            <w:tcW w:w="2301" w:type="dxa"/>
          </w:tcPr>
          <w:p w14:paraId="43764607" w14:textId="77777777" w:rsidR="003540B9" w:rsidRDefault="003540B9" w:rsidP="000D5240">
            <w:pPr>
              <w:jc w:val="center"/>
            </w:pPr>
            <w:r>
              <w:t>(5)</w:t>
            </w:r>
          </w:p>
        </w:tc>
        <w:tc>
          <w:tcPr>
            <w:tcW w:w="2362" w:type="dxa"/>
          </w:tcPr>
          <w:p w14:paraId="2B69635F" w14:textId="4238F9F2" w:rsidR="003540B9" w:rsidRDefault="00ED3C8E" w:rsidP="000D5240">
            <w:r>
              <w:t>20</w:t>
            </w:r>
          </w:p>
        </w:tc>
        <w:tc>
          <w:tcPr>
            <w:tcW w:w="2336" w:type="dxa"/>
          </w:tcPr>
          <w:p w14:paraId="0515EB6A" w14:textId="6E5DFA6B" w:rsidR="003540B9" w:rsidRDefault="00ED3C8E" w:rsidP="000D5240">
            <w:r>
              <w:t>70</w:t>
            </w:r>
          </w:p>
        </w:tc>
        <w:tc>
          <w:tcPr>
            <w:tcW w:w="2017" w:type="dxa"/>
          </w:tcPr>
          <w:p w14:paraId="34F4E1F4" w14:textId="59FAB813" w:rsidR="003540B9" w:rsidRDefault="00ED3C8E" w:rsidP="000D5240">
            <w:r>
              <w:t>10</w:t>
            </w:r>
          </w:p>
        </w:tc>
      </w:tr>
      <w:tr w:rsidR="003540B9" w14:paraId="57210D9F" w14:textId="77777777" w:rsidTr="000D5240">
        <w:trPr>
          <w:trHeight w:val="340"/>
        </w:trPr>
        <w:tc>
          <w:tcPr>
            <w:tcW w:w="2301" w:type="dxa"/>
          </w:tcPr>
          <w:p w14:paraId="0D2DE282" w14:textId="77777777" w:rsidR="003540B9" w:rsidRDefault="003540B9" w:rsidP="000D5240">
            <w:pPr>
              <w:jc w:val="center"/>
            </w:pPr>
            <w:r>
              <w:t>(6)</w:t>
            </w:r>
          </w:p>
        </w:tc>
        <w:tc>
          <w:tcPr>
            <w:tcW w:w="2362" w:type="dxa"/>
          </w:tcPr>
          <w:p w14:paraId="34575105" w14:textId="234A8E45" w:rsidR="003540B9" w:rsidRDefault="00ED3C8E" w:rsidP="000D5240">
            <w:r>
              <w:t>20</w:t>
            </w:r>
          </w:p>
        </w:tc>
        <w:tc>
          <w:tcPr>
            <w:tcW w:w="2336" w:type="dxa"/>
          </w:tcPr>
          <w:p w14:paraId="14CC04B6" w14:textId="6294CAF8" w:rsidR="003540B9" w:rsidRDefault="00ED3C8E" w:rsidP="000D5240">
            <w:r>
              <w:t>0</w:t>
            </w:r>
          </w:p>
        </w:tc>
        <w:tc>
          <w:tcPr>
            <w:tcW w:w="2017" w:type="dxa"/>
          </w:tcPr>
          <w:p w14:paraId="71DD7010" w14:textId="179F2AC0" w:rsidR="003540B9" w:rsidRDefault="00EF2880" w:rsidP="000D5240">
            <w:r>
              <w:t>8</w:t>
            </w:r>
            <w:r w:rsidR="00ED3C8E">
              <w:t>0</w:t>
            </w:r>
          </w:p>
        </w:tc>
      </w:tr>
      <w:tr w:rsidR="003540B9" w14:paraId="27C6B86E" w14:textId="77777777" w:rsidTr="000D5240">
        <w:trPr>
          <w:trHeight w:val="340"/>
        </w:trPr>
        <w:tc>
          <w:tcPr>
            <w:tcW w:w="2301" w:type="dxa"/>
          </w:tcPr>
          <w:p w14:paraId="2A1477B0" w14:textId="77777777" w:rsidR="003540B9" w:rsidRDefault="003540B9" w:rsidP="000D5240">
            <w:pPr>
              <w:jc w:val="center"/>
            </w:pPr>
            <w:r>
              <w:t>(7)</w:t>
            </w:r>
          </w:p>
        </w:tc>
        <w:tc>
          <w:tcPr>
            <w:tcW w:w="2362" w:type="dxa"/>
          </w:tcPr>
          <w:p w14:paraId="6E405621" w14:textId="1CCE79A3" w:rsidR="003540B9" w:rsidRDefault="00ED3C8E" w:rsidP="000D5240">
            <w:r>
              <w:t>60</w:t>
            </w:r>
          </w:p>
        </w:tc>
        <w:tc>
          <w:tcPr>
            <w:tcW w:w="2336" w:type="dxa"/>
          </w:tcPr>
          <w:p w14:paraId="35351CDC" w14:textId="179F6B45" w:rsidR="003540B9" w:rsidRDefault="00ED3C8E" w:rsidP="000D5240">
            <w:r>
              <w:t>30</w:t>
            </w:r>
          </w:p>
        </w:tc>
        <w:tc>
          <w:tcPr>
            <w:tcW w:w="2017" w:type="dxa"/>
          </w:tcPr>
          <w:p w14:paraId="51A0FAEA" w14:textId="3D65D18C" w:rsidR="003540B9" w:rsidRDefault="00ED3C8E" w:rsidP="000D5240">
            <w:r>
              <w:t>10</w:t>
            </w:r>
          </w:p>
        </w:tc>
      </w:tr>
      <w:tr w:rsidR="003540B9" w14:paraId="67F4D17F" w14:textId="77777777" w:rsidTr="000D5240">
        <w:trPr>
          <w:trHeight w:val="340"/>
        </w:trPr>
        <w:tc>
          <w:tcPr>
            <w:tcW w:w="2301" w:type="dxa"/>
          </w:tcPr>
          <w:p w14:paraId="0D9E0A23" w14:textId="77777777" w:rsidR="003540B9" w:rsidRDefault="003540B9" w:rsidP="000D5240">
            <w:pPr>
              <w:jc w:val="center"/>
            </w:pPr>
            <w:r>
              <w:t>(8)</w:t>
            </w:r>
          </w:p>
        </w:tc>
        <w:tc>
          <w:tcPr>
            <w:tcW w:w="2362" w:type="dxa"/>
          </w:tcPr>
          <w:p w14:paraId="02F7A0B5" w14:textId="04A8F127" w:rsidR="003540B9" w:rsidRDefault="00ED3C8E" w:rsidP="000D5240">
            <w:r>
              <w:t>30</w:t>
            </w:r>
          </w:p>
        </w:tc>
        <w:tc>
          <w:tcPr>
            <w:tcW w:w="2336" w:type="dxa"/>
          </w:tcPr>
          <w:p w14:paraId="70DCF7DF" w14:textId="61EBD43D" w:rsidR="003540B9" w:rsidRDefault="00ED3C8E" w:rsidP="000D5240">
            <w:r>
              <w:t>20</w:t>
            </w:r>
          </w:p>
        </w:tc>
        <w:tc>
          <w:tcPr>
            <w:tcW w:w="2017" w:type="dxa"/>
          </w:tcPr>
          <w:p w14:paraId="681E2816" w14:textId="4161E47F" w:rsidR="003540B9" w:rsidRDefault="00ED3C8E" w:rsidP="000D5240">
            <w:r>
              <w:t>50</w:t>
            </w:r>
          </w:p>
        </w:tc>
      </w:tr>
      <w:tr w:rsidR="003540B9" w14:paraId="2473B6AA" w14:textId="77777777" w:rsidTr="000D5240">
        <w:trPr>
          <w:trHeight w:val="340"/>
        </w:trPr>
        <w:tc>
          <w:tcPr>
            <w:tcW w:w="2301" w:type="dxa"/>
          </w:tcPr>
          <w:p w14:paraId="3615D87E" w14:textId="77777777" w:rsidR="003540B9" w:rsidRDefault="003540B9" w:rsidP="000D5240">
            <w:pPr>
              <w:jc w:val="center"/>
            </w:pPr>
            <w:r>
              <w:t>(9)</w:t>
            </w:r>
          </w:p>
        </w:tc>
        <w:tc>
          <w:tcPr>
            <w:tcW w:w="2362" w:type="dxa"/>
          </w:tcPr>
          <w:p w14:paraId="7F1F2E10" w14:textId="58F8776B" w:rsidR="003540B9" w:rsidRDefault="00ED3C8E" w:rsidP="000D5240">
            <w:r>
              <w:t>20</w:t>
            </w:r>
          </w:p>
        </w:tc>
        <w:tc>
          <w:tcPr>
            <w:tcW w:w="2336" w:type="dxa"/>
          </w:tcPr>
          <w:p w14:paraId="6A372946" w14:textId="29F0C5D5" w:rsidR="003540B9" w:rsidRDefault="00ED3C8E" w:rsidP="000D5240">
            <w:r>
              <w:t>10</w:t>
            </w:r>
          </w:p>
        </w:tc>
        <w:tc>
          <w:tcPr>
            <w:tcW w:w="2017" w:type="dxa"/>
          </w:tcPr>
          <w:p w14:paraId="6137603C" w14:textId="2BA6B12F" w:rsidR="003540B9" w:rsidRDefault="00ED3C8E" w:rsidP="000D5240">
            <w:r>
              <w:t>70</w:t>
            </w:r>
          </w:p>
        </w:tc>
      </w:tr>
      <w:tr w:rsidR="003540B9" w14:paraId="1DF424FF" w14:textId="77777777" w:rsidTr="000D5240">
        <w:trPr>
          <w:trHeight w:val="340"/>
        </w:trPr>
        <w:tc>
          <w:tcPr>
            <w:tcW w:w="2301" w:type="dxa"/>
          </w:tcPr>
          <w:p w14:paraId="06335B92" w14:textId="77777777" w:rsidR="003540B9" w:rsidRDefault="003540B9" w:rsidP="000D5240">
            <w:pPr>
              <w:jc w:val="center"/>
            </w:pPr>
            <w:r>
              <w:t>(10)</w:t>
            </w:r>
          </w:p>
        </w:tc>
        <w:tc>
          <w:tcPr>
            <w:tcW w:w="2362" w:type="dxa"/>
          </w:tcPr>
          <w:p w14:paraId="7B4CB246" w14:textId="5F12258A" w:rsidR="003540B9" w:rsidRDefault="00ED3C8E" w:rsidP="000D5240">
            <w:r>
              <w:t>90</w:t>
            </w:r>
          </w:p>
        </w:tc>
        <w:tc>
          <w:tcPr>
            <w:tcW w:w="2336" w:type="dxa"/>
          </w:tcPr>
          <w:p w14:paraId="48601726" w14:textId="5636F72C" w:rsidR="003540B9" w:rsidRDefault="00ED3C8E" w:rsidP="000D5240">
            <w:r>
              <w:t>0</w:t>
            </w:r>
          </w:p>
        </w:tc>
        <w:tc>
          <w:tcPr>
            <w:tcW w:w="2017" w:type="dxa"/>
          </w:tcPr>
          <w:p w14:paraId="2964E00D" w14:textId="7CE6A500" w:rsidR="003540B9" w:rsidRDefault="00ED3C8E" w:rsidP="000D5240">
            <w:r>
              <w:t>10</w:t>
            </w:r>
          </w:p>
        </w:tc>
      </w:tr>
    </w:tbl>
    <w:p w14:paraId="4C79D84A" w14:textId="1E33FB56" w:rsidR="00C96A23" w:rsidRDefault="00C96A23" w:rsidP="00C96A23">
      <w:pPr>
        <w:pStyle w:val="Heading3"/>
      </w:pPr>
      <w:r>
        <w:t>Table A8 – Retrofitted Class 2 Apartments (Gold Level)</w:t>
      </w:r>
    </w:p>
    <w:tbl>
      <w:tblPr>
        <w:tblStyle w:val="TableGrid"/>
        <w:tblW w:w="0" w:type="auto"/>
        <w:tblLook w:val="04A0" w:firstRow="1" w:lastRow="0" w:firstColumn="1" w:lastColumn="0" w:noHBand="0" w:noVBand="1"/>
        <w:tblCaption w:val="Table A8 - Retrofitted Class 2 Apartments (Gold Level)"/>
        <w:tblDescription w:val="Table setting out scenario weightings for retrofitted Class 2 apartments to LHDG Gold Level."/>
      </w:tblPr>
      <w:tblGrid>
        <w:gridCol w:w="2301"/>
        <w:gridCol w:w="2362"/>
        <w:gridCol w:w="2336"/>
        <w:gridCol w:w="2017"/>
      </w:tblGrid>
      <w:tr w:rsidR="00C96A23" w14:paraId="793E0E84" w14:textId="77777777" w:rsidTr="000D3298">
        <w:trPr>
          <w:tblHeader/>
        </w:trPr>
        <w:tc>
          <w:tcPr>
            <w:tcW w:w="2301" w:type="dxa"/>
            <w:shd w:val="clear" w:color="auto" w:fill="BFBFBF" w:themeFill="background1" w:themeFillShade="BF"/>
          </w:tcPr>
          <w:p w14:paraId="796B5C95" w14:textId="77777777" w:rsidR="00C96A23" w:rsidRPr="00163F60" w:rsidRDefault="00C96A23" w:rsidP="0085186E">
            <w:pPr>
              <w:rPr>
                <w:b/>
              </w:rPr>
            </w:pPr>
            <w:r>
              <w:rPr>
                <w:b/>
              </w:rPr>
              <w:t>Performance Requirement</w:t>
            </w:r>
          </w:p>
        </w:tc>
        <w:tc>
          <w:tcPr>
            <w:tcW w:w="2362" w:type="dxa"/>
            <w:shd w:val="clear" w:color="auto" w:fill="BFBFBF" w:themeFill="background1" w:themeFillShade="BF"/>
          </w:tcPr>
          <w:p w14:paraId="26CBA7D5" w14:textId="77777777" w:rsidR="00C96A23" w:rsidRDefault="00C96A23" w:rsidP="0085186E">
            <w:pPr>
              <w:jc w:val="left"/>
              <w:rPr>
                <w:b/>
              </w:rPr>
            </w:pPr>
            <w:r w:rsidRPr="00163F60">
              <w:rPr>
                <w:b/>
              </w:rPr>
              <w:t xml:space="preserve">Low Impact </w:t>
            </w:r>
          </w:p>
          <w:p w14:paraId="6DF258D6" w14:textId="77777777" w:rsidR="00C96A23" w:rsidRPr="00163F60" w:rsidRDefault="00C96A23" w:rsidP="0085186E">
            <w:pPr>
              <w:jc w:val="left"/>
              <w:rPr>
                <w:b/>
              </w:rPr>
            </w:pPr>
            <w:r w:rsidRPr="00163F60">
              <w:rPr>
                <w:b/>
              </w:rPr>
              <w:t>(% of dwellings)</w:t>
            </w:r>
          </w:p>
        </w:tc>
        <w:tc>
          <w:tcPr>
            <w:tcW w:w="2336" w:type="dxa"/>
            <w:shd w:val="clear" w:color="auto" w:fill="BFBFBF" w:themeFill="background1" w:themeFillShade="BF"/>
          </w:tcPr>
          <w:p w14:paraId="05470E5F" w14:textId="77777777" w:rsidR="00C96A23" w:rsidRDefault="00C96A23" w:rsidP="0085186E">
            <w:pPr>
              <w:jc w:val="left"/>
              <w:rPr>
                <w:b/>
              </w:rPr>
            </w:pPr>
            <w:r w:rsidRPr="00163F60">
              <w:rPr>
                <w:b/>
              </w:rPr>
              <w:t xml:space="preserve">Medium Impact </w:t>
            </w:r>
          </w:p>
          <w:p w14:paraId="11FEF31C" w14:textId="76ADA79E" w:rsidR="00C96A23" w:rsidRPr="00163F60" w:rsidRDefault="00C96A23" w:rsidP="0085186E">
            <w:pPr>
              <w:jc w:val="left"/>
              <w:rPr>
                <w:b/>
              </w:rPr>
            </w:pPr>
            <w:r w:rsidRPr="00163F60">
              <w:rPr>
                <w:b/>
              </w:rPr>
              <w:t>(% of dwellings</w:t>
            </w:r>
            <w:r w:rsidR="000345E6">
              <w:rPr>
                <w:b/>
              </w:rPr>
              <w:t>)</w:t>
            </w:r>
          </w:p>
        </w:tc>
        <w:tc>
          <w:tcPr>
            <w:tcW w:w="2017" w:type="dxa"/>
            <w:shd w:val="clear" w:color="auto" w:fill="BFBFBF" w:themeFill="background1" w:themeFillShade="BF"/>
          </w:tcPr>
          <w:p w14:paraId="7CC12D2B" w14:textId="77777777" w:rsidR="00C96A23" w:rsidRDefault="00C96A23" w:rsidP="0085186E">
            <w:pPr>
              <w:jc w:val="left"/>
              <w:rPr>
                <w:b/>
              </w:rPr>
            </w:pPr>
            <w:r w:rsidRPr="00163F60">
              <w:rPr>
                <w:b/>
              </w:rPr>
              <w:t xml:space="preserve">High Impact </w:t>
            </w:r>
          </w:p>
          <w:p w14:paraId="19EECD13" w14:textId="77777777" w:rsidR="00C96A23" w:rsidRPr="00163F60" w:rsidRDefault="00C96A23" w:rsidP="0085186E">
            <w:pPr>
              <w:jc w:val="left"/>
              <w:rPr>
                <w:b/>
              </w:rPr>
            </w:pPr>
            <w:r w:rsidRPr="00163F60">
              <w:rPr>
                <w:b/>
              </w:rPr>
              <w:t>(% of Dwellings)</w:t>
            </w:r>
          </w:p>
        </w:tc>
      </w:tr>
      <w:tr w:rsidR="00C96A23" w14:paraId="71640E63" w14:textId="77777777" w:rsidTr="0085186E">
        <w:trPr>
          <w:trHeight w:val="340"/>
        </w:trPr>
        <w:tc>
          <w:tcPr>
            <w:tcW w:w="2301" w:type="dxa"/>
          </w:tcPr>
          <w:p w14:paraId="5CBFDC22" w14:textId="77777777" w:rsidR="00C96A23" w:rsidRDefault="00C96A23" w:rsidP="0085186E">
            <w:pPr>
              <w:jc w:val="center"/>
            </w:pPr>
            <w:r>
              <w:t>(1)</w:t>
            </w:r>
          </w:p>
        </w:tc>
        <w:tc>
          <w:tcPr>
            <w:tcW w:w="2362" w:type="dxa"/>
          </w:tcPr>
          <w:p w14:paraId="476CD9B2" w14:textId="77777777" w:rsidR="00C96A23" w:rsidRDefault="00C96A23" w:rsidP="0085186E">
            <w:r>
              <w:t>20</w:t>
            </w:r>
          </w:p>
        </w:tc>
        <w:tc>
          <w:tcPr>
            <w:tcW w:w="2336" w:type="dxa"/>
          </w:tcPr>
          <w:p w14:paraId="35E8573C" w14:textId="77777777" w:rsidR="00C96A23" w:rsidRDefault="00C96A23" w:rsidP="0085186E">
            <w:r>
              <w:t>30</w:t>
            </w:r>
          </w:p>
        </w:tc>
        <w:tc>
          <w:tcPr>
            <w:tcW w:w="2017" w:type="dxa"/>
          </w:tcPr>
          <w:p w14:paraId="2D675CE8" w14:textId="77777777" w:rsidR="00C96A23" w:rsidRDefault="00C96A23" w:rsidP="0085186E">
            <w:r>
              <w:t>50</w:t>
            </w:r>
          </w:p>
        </w:tc>
      </w:tr>
      <w:tr w:rsidR="00C96A23" w14:paraId="30910D51" w14:textId="77777777" w:rsidTr="0085186E">
        <w:trPr>
          <w:trHeight w:val="340"/>
        </w:trPr>
        <w:tc>
          <w:tcPr>
            <w:tcW w:w="2301" w:type="dxa"/>
          </w:tcPr>
          <w:p w14:paraId="2688F190" w14:textId="77777777" w:rsidR="00C96A23" w:rsidRDefault="00C96A23" w:rsidP="0085186E">
            <w:pPr>
              <w:jc w:val="center"/>
            </w:pPr>
            <w:r>
              <w:t>(2)</w:t>
            </w:r>
          </w:p>
        </w:tc>
        <w:tc>
          <w:tcPr>
            <w:tcW w:w="2362" w:type="dxa"/>
          </w:tcPr>
          <w:p w14:paraId="6EA7F60E" w14:textId="77777777" w:rsidR="00C96A23" w:rsidRDefault="00C96A23" w:rsidP="0085186E">
            <w:r>
              <w:t>10</w:t>
            </w:r>
          </w:p>
        </w:tc>
        <w:tc>
          <w:tcPr>
            <w:tcW w:w="2336" w:type="dxa"/>
          </w:tcPr>
          <w:p w14:paraId="3C9761A2" w14:textId="77777777" w:rsidR="00C96A23" w:rsidRDefault="00C96A23" w:rsidP="0085186E">
            <w:r>
              <w:t>0</w:t>
            </w:r>
          </w:p>
        </w:tc>
        <w:tc>
          <w:tcPr>
            <w:tcW w:w="2017" w:type="dxa"/>
          </w:tcPr>
          <w:p w14:paraId="16896915" w14:textId="77777777" w:rsidR="00C96A23" w:rsidRDefault="00C96A23" w:rsidP="0085186E">
            <w:r>
              <w:t>90</w:t>
            </w:r>
          </w:p>
        </w:tc>
      </w:tr>
      <w:tr w:rsidR="00C96A23" w14:paraId="48A41602" w14:textId="77777777" w:rsidTr="0085186E">
        <w:trPr>
          <w:trHeight w:val="340"/>
        </w:trPr>
        <w:tc>
          <w:tcPr>
            <w:tcW w:w="2301" w:type="dxa"/>
          </w:tcPr>
          <w:p w14:paraId="47B8A93A" w14:textId="77777777" w:rsidR="00C96A23" w:rsidRDefault="00C96A23" w:rsidP="0085186E">
            <w:pPr>
              <w:jc w:val="center"/>
            </w:pPr>
            <w:r>
              <w:t>(3)</w:t>
            </w:r>
          </w:p>
        </w:tc>
        <w:tc>
          <w:tcPr>
            <w:tcW w:w="2362" w:type="dxa"/>
          </w:tcPr>
          <w:p w14:paraId="1240F6E1" w14:textId="77777777" w:rsidR="00C96A23" w:rsidRDefault="00C96A23" w:rsidP="0085186E">
            <w:r>
              <w:t>10</w:t>
            </w:r>
          </w:p>
        </w:tc>
        <w:tc>
          <w:tcPr>
            <w:tcW w:w="2336" w:type="dxa"/>
          </w:tcPr>
          <w:p w14:paraId="614BE34A" w14:textId="77777777" w:rsidR="00C96A23" w:rsidRDefault="00C96A23" w:rsidP="0085186E">
            <w:r>
              <w:t>30</w:t>
            </w:r>
          </w:p>
        </w:tc>
        <w:tc>
          <w:tcPr>
            <w:tcW w:w="2017" w:type="dxa"/>
          </w:tcPr>
          <w:p w14:paraId="375B67A6" w14:textId="77777777" w:rsidR="00C96A23" w:rsidRDefault="00C96A23" w:rsidP="0085186E">
            <w:r>
              <w:t>60</w:t>
            </w:r>
          </w:p>
        </w:tc>
      </w:tr>
      <w:tr w:rsidR="00C96A23" w14:paraId="2C1478E7" w14:textId="77777777" w:rsidTr="0085186E">
        <w:trPr>
          <w:trHeight w:val="340"/>
        </w:trPr>
        <w:tc>
          <w:tcPr>
            <w:tcW w:w="2301" w:type="dxa"/>
          </w:tcPr>
          <w:p w14:paraId="59ED283C" w14:textId="77777777" w:rsidR="00C96A23" w:rsidRDefault="00C96A23" w:rsidP="0085186E">
            <w:pPr>
              <w:jc w:val="center"/>
            </w:pPr>
            <w:r>
              <w:t>(4)</w:t>
            </w:r>
          </w:p>
        </w:tc>
        <w:tc>
          <w:tcPr>
            <w:tcW w:w="2362" w:type="dxa"/>
          </w:tcPr>
          <w:p w14:paraId="7A2D7A02" w14:textId="77777777" w:rsidR="00C96A23" w:rsidRDefault="00C96A23" w:rsidP="0085186E">
            <w:r>
              <w:t>20</w:t>
            </w:r>
          </w:p>
        </w:tc>
        <w:tc>
          <w:tcPr>
            <w:tcW w:w="2336" w:type="dxa"/>
          </w:tcPr>
          <w:p w14:paraId="3DAE945D" w14:textId="1F3DEE55" w:rsidR="00C96A23" w:rsidRDefault="00C96A23" w:rsidP="0085186E">
            <w:r>
              <w:t>25</w:t>
            </w:r>
          </w:p>
        </w:tc>
        <w:tc>
          <w:tcPr>
            <w:tcW w:w="2017" w:type="dxa"/>
          </w:tcPr>
          <w:p w14:paraId="6D7E9484" w14:textId="25ECF737" w:rsidR="00C96A23" w:rsidRDefault="00C96A23" w:rsidP="0085186E">
            <w:r>
              <w:t>55</w:t>
            </w:r>
          </w:p>
        </w:tc>
      </w:tr>
      <w:tr w:rsidR="00C96A23" w14:paraId="0D1799D2" w14:textId="77777777" w:rsidTr="0085186E">
        <w:trPr>
          <w:trHeight w:val="340"/>
        </w:trPr>
        <w:tc>
          <w:tcPr>
            <w:tcW w:w="2301" w:type="dxa"/>
          </w:tcPr>
          <w:p w14:paraId="286EED97" w14:textId="77777777" w:rsidR="00C96A23" w:rsidRDefault="00C96A23" w:rsidP="0085186E">
            <w:pPr>
              <w:jc w:val="center"/>
            </w:pPr>
            <w:r>
              <w:t>(5)</w:t>
            </w:r>
          </w:p>
        </w:tc>
        <w:tc>
          <w:tcPr>
            <w:tcW w:w="2362" w:type="dxa"/>
          </w:tcPr>
          <w:p w14:paraId="429D921F" w14:textId="77777777" w:rsidR="00C96A23" w:rsidRDefault="00C96A23" w:rsidP="0085186E">
            <w:r>
              <w:t>20</w:t>
            </w:r>
          </w:p>
        </w:tc>
        <w:tc>
          <w:tcPr>
            <w:tcW w:w="2336" w:type="dxa"/>
          </w:tcPr>
          <w:p w14:paraId="31FB880E" w14:textId="77777777" w:rsidR="00C96A23" w:rsidRDefault="00C96A23" w:rsidP="0085186E">
            <w:r>
              <w:t>70</w:t>
            </w:r>
          </w:p>
        </w:tc>
        <w:tc>
          <w:tcPr>
            <w:tcW w:w="2017" w:type="dxa"/>
          </w:tcPr>
          <w:p w14:paraId="199F3DEE" w14:textId="77777777" w:rsidR="00C96A23" w:rsidRDefault="00C96A23" w:rsidP="0085186E">
            <w:r>
              <w:t>10</w:t>
            </w:r>
          </w:p>
        </w:tc>
      </w:tr>
      <w:tr w:rsidR="00C96A23" w14:paraId="2F05FD9E" w14:textId="77777777" w:rsidTr="0085186E">
        <w:trPr>
          <w:trHeight w:val="340"/>
        </w:trPr>
        <w:tc>
          <w:tcPr>
            <w:tcW w:w="2301" w:type="dxa"/>
          </w:tcPr>
          <w:p w14:paraId="5D74D645" w14:textId="77777777" w:rsidR="00C96A23" w:rsidRDefault="00C96A23" w:rsidP="0085186E">
            <w:pPr>
              <w:jc w:val="center"/>
            </w:pPr>
            <w:r>
              <w:t>(6)</w:t>
            </w:r>
          </w:p>
        </w:tc>
        <w:tc>
          <w:tcPr>
            <w:tcW w:w="2362" w:type="dxa"/>
          </w:tcPr>
          <w:p w14:paraId="664CEBC2" w14:textId="77777777" w:rsidR="00C96A23" w:rsidRDefault="00C96A23" w:rsidP="0085186E">
            <w:r>
              <w:t>20</w:t>
            </w:r>
          </w:p>
        </w:tc>
        <w:tc>
          <w:tcPr>
            <w:tcW w:w="2336" w:type="dxa"/>
          </w:tcPr>
          <w:p w14:paraId="2FFD5163" w14:textId="77777777" w:rsidR="00C96A23" w:rsidRDefault="00C96A23" w:rsidP="0085186E">
            <w:r>
              <w:t>0</w:t>
            </w:r>
          </w:p>
        </w:tc>
        <w:tc>
          <w:tcPr>
            <w:tcW w:w="2017" w:type="dxa"/>
          </w:tcPr>
          <w:p w14:paraId="242809A0" w14:textId="77777777" w:rsidR="00C96A23" w:rsidRDefault="00C96A23" w:rsidP="0085186E">
            <w:r>
              <w:t>80</w:t>
            </w:r>
          </w:p>
        </w:tc>
      </w:tr>
      <w:tr w:rsidR="00C96A23" w14:paraId="556DF0C4" w14:textId="77777777" w:rsidTr="0085186E">
        <w:trPr>
          <w:trHeight w:val="340"/>
        </w:trPr>
        <w:tc>
          <w:tcPr>
            <w:tcW w:w="2301" w:type="dxa"/>
          </w:tcPr>
          <w:p w14:paraId="13DF5C9C" w14:textId="77777777" w:rsidR="00C96A23" w:rsidRDefault="00C96A23" w:rsidP="0085186E">
            <w:pPr>
              <w:jc w:val="center"/>
            </w:pPr>
            <w:r>
              <w:t>(7)</w:t>
            </w:r>
          </w:p>
        </w:tc>
        <w:tc>
          <w:tcPr>
            <w:tcW w:w="2362" w:type="dxa"/>
          </w:tcPr>
          <w:p w14:paraId="7AF087B6" w14:textId="77777777" w:rsidR="00C96A23" w:rsidRDefault="00C96A23" w:rsidP="0085186E">
            <w:r>
              <w:t>60</w:t>
            </w:r>
          </w:p>
        </w:tc>
        <w:tc>
          <w:tcPr>
            <w:tcW w:w="2336" w:type="dxa"/>
          </w:tcPr>
          <w:p w14:paraId="78935669" w14:textId="77777777" w:rsidR="00C96A23" w:rsidRDefault="00C96A23" w:rsidP="0085186E">
            <w:r>
              <w:t>30</w:t>
            </w:r>
          </w:p>
        </w:tc>
        <w:tc>
          <w:tcPr>
            <w:tcW w:w="2017" w:type="dxa"/>
          </w:tcPr>
          <w:p w14:paraId="4766FFBE" w14:textId="77777777" w:rsidR="00C96A23" w:rsidRDefault="00C96A23" w:rsidP="0085186E">
            <w:r>
              <w:t>10</w:t>
            </w:r>
          </w:p>
        </w:tc>
      </w:tr>
      <w:tr w:rsidR="00C96A23" w14:paraId="210982DB" w14:textId="77777777" w:rsidTr="0085186E">
        <w:trPr>
          <w:trHeight w:val="340"/>
        </w:trPr>
        <w:tc>
          <w:tcPr>
            <w:tcW w:w="2301" w:type="dxa"/>
          </w:tcPr>
          <w:p w14:paraId="75BA79C0" w14:textId="77777777" w:rsidR="00C96A23" w:rsidRDefault="00C96A23" w:rsidP="0085186E">
            <w:pPr>
              <w:jc w:val="center"/>
            </w:pPr>
            <w:r>
              <w:t>(8)</w:t>
            </w:r>
          </w:p>
        </w:tc>
        <w:tc>
          <w:tcPr>
            <w:tcW w:w="2362" w:type="dxa"/>
          </w:tcPr>
          <w:p w14:paraId="0DDD9FD5" w14:textId="77777777" w:rsidR="00C96A23" w:rsidRDefault="00C96A23" w:rsidP="0085186E">
            <w:r>
              <w:t>30</w:t>
            </w:r>
          </w:p>
        </w:tc>
        <w:tc>
          <w:tcPr>
            <w:tcW w:w="2336" w:type="dxa"/>
          </w:tcPr>
          <w:p w14:paraId="0A496335" w14:textId="77777777" w:rsidR="00C96A23" w:rsidRDefault="00C96A23" w:rsidP="0085186E">
            <w:r>
              <w:t>20</w:t>
            </w:r>
          </w:p>
        </w:tc>
        <w:tc>
          <w:tcPr>
            <w:tcW w:w="2017" w:type="dxa"/>
          </w:tcPr>
          <w:p w14:paraId="3C6F9DE7" w14:textId="77777777" w:rsidR="00C96A23" w:rsidRDefault="00C96A23" w:rsidP="0085186E">
            <w:r>
              <w:t>50</w:t>
            </w:r>
          </w:p>
        </w:tc>
      </w:tr>
      <w:tr w:rsidR="00C96A23" w14:paraId="1EC1F210" w14:textId="77777777" w:rsidTr="0085186E">
        <w:trPr>
          <w:trHeight w:val="340"/>
        </w:trPr>
        <w:tc>
          <w:tcPr>
            <w:tcW w:w="2301" w:type="dxa"/>
          </w:tcPr>
          <w:p w14:paraId="04EDE088" w14:textId="77777777" w:rsidR="00C96A23" w:rsidRDefault="00C96A23" w:rsidP="0085186E">
            <w:pPr>
              <w:jc w:val="center"/>
            </w:pPr>
            <w:r>
              <w:t>(9)</w:t>
            </w:r>
          </w:p>
        </w:tc>
        <w:tc>
          <w:tcPr>
            <w:tcW w:w="2362" w:type="dxa"/>
          </w:tcPr>
          <w:p w14:paraId="34CB7422" w14:textId="77777777" w:rsidR="00C96A23" w:rsidRDefault="00C96A23" w:rsidP="0085186E">
            <w:r>
              <w:t>20</w:t>
            </w:r>
          </w:p>
        </w:tc>
        <w:tc>
          <w:tcPr>
            <w:tcW w:w="2336" w:type="dxa"/>
          </w:tcPr>
          <w:p w14:paraId="7C331510" w14:textId="77777777" w:rsidR="00C96A23" w:rsidRDefault="00C96A23" w:rsidP="0085186E">
            <w:r>
              <w:t>10</w:t>
            </w:r>
          </w:p>
        </w:tc>
        <w:tc>
          <w:tcPr>
            <w:tcW w:w="2017" w:type="dxa"/>
          </w:tcPr>
          <w:p w14:paraId="4EBC0969" w14:textId="77777777" w:rsidR="00C96A23" w:rsidRDefault="00C96A23" w:rsidP="0085186E">
            <w:r>
              <w:t>70</w:t>
            </w:r>
          </w:p>
        </w:tc>
      </w:tr>
      <w:tr w:rsidR="00C96A23" w14:paraId="21F53F7D" w14:textId="77777777" w:rsidTr="0085186E">
        <w:trPr>
          <w:trHeight w:val="340"/>
        </w:trPr>
        <w:tc>
          <w:tcPr>
            <w:tcW w:w="2301" w:type="dxa"/>
          </w:tcPr>
          <w:p w14:paraId="11701F64" w14:textId="77777777" w:rsidR="00C96A23" w:rsidRDefault="00C96A23" w:rsidP="0085186E">
            <w:pPr>
              <w:jc w:val="center"/>
            </w:pPr>
            <w:r>
              <w:t>(10)</w:t>
            </w:r>
          </w:p>
        </w:tc>
        <w:tc>
          <w:tcPr>
            <w:tcW w:w="2362" w:type="dxa"/>
          </w:tcPr>
          <w:p w14:paraId="1570EF0F" w14:textId="77777777" w:rsidR="00C96A23" w:rsidRDefault="00C96A23" w:rsidP="0085186E">
            <w:r>
              <w:t>90</w:t>
            </w:r>
          </w:p>
        </w:tc>
        <w:tc>
          <w:tcPr>
            <w:tcW w:w="2336" w:type="dxa"/>
          </w:tcPr>
          <w:p w14:paraId="288FE0FA" w14:textId="77777777" w:rsidR="00C96A23" w:rsidRDefault="00C96A23" w:rsidP="0085186E">
            <w:r>
              <w:t>0</w:t>
            </w:r>
          </w:p>
        </w:tc>
        <w:tc>
          <w:tcPr>
            <w:tcW w:w="2017" w:type="dxa"/>
          </w:tcPr>
          <w:p w14:paraId="32B69816" w14:textId="77777777" w:rsidR="00C96A23" w:rsidRDefault="00C96A23" w:rsidP="0085186E">
            <w:r>
              <w:t>10</w:t>
            </w:r>
          </w:p>
        </w:tc>
      </w:tr>
    </w:tbl>
    <w:p w14:paraId="30982AB4" w14:textId="32B84FDB" w:rsidR="00F32DF1" w:rsidRDefault="00F32DF1" w:rsidP="00C96A23">
      <w:pPr>
        <w:pStyle w:val="Heading2"/>
      </w:pPr>
      <w:r>
        <w:t>Calculation Method for Table</w:t>
      </w:r>
      <w:r w:rsidR="00C96A23">
        <w:t>s</w:t>
      </w:r>
      <w:r>
        <w:t xml:space="preserve"> 1</w:t>
      </w:r>
      <w:r w:rsidR="00C96A23">
        <w:t xml:space="preserve"> and 2</w:t>
      </w:r>
    </w:p>
    <w:p w14:paraId="2C6E55A0" w14:textId="13B9E51D" w:rsidR="00C0560E" w:rsidRDefault="00C96A23">
      <w:r>
        <w:t>Tables 1 and 2 set</w:t>
      </w:r>
      <w:r w:rsidR="00C0560E">
        <w:t xml:space="preserve"> out cost estimates according to a low, medium, high, and weighted average cost impact scenarios. This section provides additional explanatory information </w:t>
      </w:r>
      <w:r w:rsidR="00CC7F66">
        <w:t>on</w:t>
      </w:r>
      <w:r w:rsidR="00C0560E">
        <w:t xml:space="preserve"> how these cost estimates are derived, based on the report provided by DCWC.</w:t>
      </w:r>
    </w:p>
    <w:p w14:paraId="11E5D35B" w14:textId="2FA59544" w:rsidR="00C0560E" w:rsidRDefault="00656C67">
      <w:r>
        <w:t>The DCWC report provides fully itemised cost estimates in Appendix 2 of the report, which are arranged as follows:</w:t>
      </w:r>
    </w:p>
    <w:p w14:paraId="3818EF6A" w14:textId="14445B44" w:rsidR="00656C67" w:rsidRPr="00C96A23" w:rsidRDefault="00656C67" w:rsidP="00C96A23">
      <w:pPr>
        <w:pStyle w:val="ListParagraph"/>
        <w:numPr>
          <w:ilvl w:val="0"/>
          <w:numId w:val="42"/>
        </w:numPr>
        <w:spacing w:after="120"/>
        <w:contextualSpacing w:val="0"/>
        <w:rPr>
          <w:u w:val="single"/>
        </w:rPr>
      </w:pPr>
      <w:r w:rsidRPr="00C96A23">
        <w:rPr>
          <w:u w:val="single"/>
        </w:rPr>
        <w:t>Class 1a dwellings</w:t>
      </w:r>
    </w:p>
    <w:p w14:paraId="09156159" w14:textId="72C2036A" w:rsidR="00656C67" w:rsidRDefault="00656C67" w:rsidP="00C96A23">
      <w:pPr>
        <w:pStyle w:val="ListParagraph"/>
        <w:numPr>
          <w:ilvl w:val="1"/>
          <w:numId w:val="42"/>
        </w:numPr>
        <w:spacing w:after="120"/>
        <w:contextualSpacing w:val="0"/>
      </w:pPr>
      <w:r>
        <w:t>LHDG Silver Standard</w:t>
      </w:r>
    </w:p>
    <w:p w14:paraId="4C03CF91" w14:textId="560DE33D" w:rsidR="00656C67" w:rsidRDefault="00656C67" w:rsidP="00C96A23">
      <w:pPr>
        <w:pStyle w:val="ListParagraph"/>
        <w:numPr>
          <w:ilvl w:val="2"/>
          <w:numId w:val="42"/>
        </w:numPr>
        <w:spacing w:after="120"/>
        <w:contextualSpacing w:val="0"/>
      </w:pPr>
      <w:r>
        <w:t>Design Element</w:t>
      </w:r>
      <w:r w:rsidR="00370D24">
        <w:t>s (1-7)</w:t>
      </w:r>
    </w:p>
    <w:p w14:paraId="493ED66D" w14:textId="6DD36FC0" w:rsidR="00656C67" w:rsidRDefault="00656C67" w:rsidP="00C96A23">
      <w:pPr>
        <w:pStyle w:val="ListParagraph"/>
        <w:numPr>
          <w:ilvl w:val="3"/>
          <w:numId w:val="42"/>
        </w:numPr>
        <w:spacing w:after="120"/>
        <w:contextualSpacing w:val="0"/>
      </w:pPr>
      <w:r>
        <w:t>Scenario</w:t>
      </w:r>
      <w:r w:rsidR="00370D24">
        <w:t>s (Low, Medium, High)</w:t>
      </w:r>
    </w:p>
    <w:p w14:paraId="2F9B4565" w14:textId="29AC9936" w:rsidR="00656C67" w:rsidRDefault="00656C67" w:rsidP="00C96A23">
      <w:pPr>
        <w:pStyle w:val="ListParagraph"/>
        <w:numPr>
          <w:ilvl w:val="1"/>
          <w:numId w:val="42"/>
        </w:numPr>
        <w:spacing w:after="120"/>
        <w:contextualSpacing w:val="0"/>
      </w:pPr>
      <w:r>
        <w:t>LHDG Gold Standard</w:t>
      </w:r>
    </w:p>
    <w:p w14:paraId="59C539E0" w14:textId="72A916C8" w:rsidR="00656C67" w:rsidRDefault="00656C67" w:rsidP="00C96A23">
      <w:pPr>
        <w:pStyle w:val="ListParagraph"/>
        <w:numPr>
          <w:ilvl w:val="2"/>
          <w:numId w:val="42"/>
        </w:numPr>
        <w:spacing w:after="120"/>
        <w:contextualSpacing w:val="0"/>
      </w:pPr>
      <w:r>
        <w:t>Design Element</w:t>
      </w:r>
      <w:r w:rsidR="00370D24">
        <w:t>s (1-12)</w:t>
      </w:r>
    </w:p>
    <w:p w14:paraId="2E359C98" w14:textId="154FAC48" w:rsidR="00656C67" w:rsidRDefault="00656C67" w:rsidP="00C96A23">
      <w:pPr>
        <w:pStyle w:val="ListParagraph"/>
        <w:numPr>
          <w:ilvl w:val="3"/>
          <w:numId w:val="42"/>
        </w:numPr>
        <w:spacing w:after="120"/>
        <w:contextualSpacing w:val="0"/>
      </w:pPr>
      <w:r>
        <w:t>Scenario</w:t>
      </w:r>
      <w:r w:rsidR="00370D24">
        <w:t>s (Low, Medium, High)</w:t>
      </w:r>
    </w:p>
    <w:p w14:paraId="121F3CEB" w14:textId="6B7BD3F4" w:rsidR="00656C67" w:rsidRPr="00C96A23" w:rsidRDefault="00656C67" w:rsidP="00C96A23">
      <w:pPr>
        <w:pStyle w:val="ListParagraph"/>
        <w:numPr>
          <w:ilvl w:val="0"/>
          <w:numId w:val="42"/>
        </w:numPr>
        <w:spacing w:after="120"/>
        <w:contextualSpacing w:val="0"/>
        <w:rPr>
          <w:u w:val="single"/>
        </w:rPr>
      </w:pPr>
      <w:r w:rsidRPr="00C96A23">
        <w:rPr>
          <w:u w:val="single"/>
        </w:rPr>
        <w:t>Class 2 dwellings</w:t>
      </w:r>
    </w:p>
    <w:p w14:paraId="436AE440" w14:textId="60D358FE" w:rsidR="00656C67" w:rsidRDefault="00656C67" w:rsidP="00C96A23">
      <w:pPr>
        <w:pStyle w:val="ListParagraph"/>
        <w:numPr>
          <w:ilvl w:val="1"/>
          <w:numId w:val="42"/>
        </w:numPr>
        <w:spacing w:after="120"/>
        <w:contextualSpacing w:val="0"/>
      </w:pPr>
      <w:r>
        <w:t>LHDG Silver Standard</w:t>
      </w:r>
    </w:p>
    <w:p w14:paraId="7A08784F" w14:textId="3C109E29" w:rsidR="00656C67" w:rsidRDefault="00656C67" w:rsidP="00C96A23">
      <w:pPr>
        <w:pStyle w:val="ListParagraph"/>
        <w:numPr>
          <w:ilvl w:val="2"/>
          <w:numId w:val="42"/>
        </w:numPr>
        <w:spacing w:after="120"/>
        <w:contextualSpacing w:val="0"/>
      </w:pPr>
      <w:r>
        <w:t>Design Element</w:t>
      </w:r>
      <w:r w:rsidR="00370D24">
        <w:t>s (1-7)</w:t>
      </w:r>
    </w:p>
    <w:p w14:paraId="3A0201B6" w14:textId="6FA40E4F" w:rsidR="00656C67" w:rsidRDefault="00656C67" w:rsidP="00C96A23">
      <w:pPr>
        <w:pStyle w:val="ListParagraph"/>
        <w:numPr>
          <w:ilvl w:val="3"/>
          <w:numId w:val="42"/>
        </w:numPr>
        <w:spacing w:after="120"/>
        <w:contextualSpacing w:val="0"/>
      </w:pPr>
      <w:r>
        <w:t>Scenario</w:t>
      </w:r>
      <w:r w:rsidR="00370D24">
        <w:t>s (Low, Medium, High)</w:t>
      </w:r>
    </w:p>
    <w:p w14:paraId="1C08704D" w14:textId="2B68EA21" w:rsidR="00656C67" w:rsidRDefault="00656C67" w:rsidP="00C96A23">
      <w:pPr>
        <w:pStyle w:val="ListParagraph"/>
        <w:numPr>
          <w:ilvl w:val="1"/>
          <w:numId w:val="42"/>
        </w:numPr>
        <w:spacing w:after="120"/>
        <w:contextualSpacing w:val="0"/>
      </w:pPr>
      <w:r>
        <w:t>LHDG Gold Standard</w:t>
      </w:r>
    </w:p>
    <w:p w14:paraId="65F3C1FA" w14:textId="5489348D" w:rsidR="00656C67" w:rsidRDefault="00656C67" w:rsidP="00C96A23">
      <w:pPr>
        <w:pStyle w:val="ListParagraph"/>
        <w:numPr>
          <w:ilvl w:val="2"/>
          <w:numId w:val="42"/>
        </w:numPr>
        <w:spacing w:after="120"/>
        <w:contextualSpacing w:val="0"/>
      </w:pPr>
      <w:r>
        <w:t>Design Element</w:t>
      </w:r>
      <w:r w:rsidR="00370D24">
        <w:t>s (1-12)</w:t>
      </w:r>
    </w:p>
    <w:p w14:paraId="53658470" w14:textId="7DA63354" w:rsidR="00656C67" w:rsidRDefault="00656C67" w:rsidP="00C96A23">
      <w:pPr>
        <w:pStyle w:val="ListParagraph"/>
        <w:numPr>
          <w:ilvl w:val="3"/>
          <w:numId w:val="42"/>
        </w:numPr>
        <w:spacing w:after="120"/>
        <w:contextualSpacing w:val="0"/>
      </w:pPr>
      <w:r>
        <w:t>Scenario</w:t>
      </w:r>
      <w:r w:rsidR="00370D24">
        <w:t>s (Low, Medium, High)</w:t>
      </w:r>
    </w:p>
    <w:p w14:paraId="58FE601A" w14:textId="0763626B" w:rsidR="00370D24" w:rsidRDefault="00370D24" w:rsidP="00C96A23">
      <w:pPr>
        <w:spacing w:after="120"/>
      </w:pPr>
    </w:p>
    <w:p w14:paraId="6D23D914" w14:textId="77777777" w:rsidR="00066852" w:rsidRDefault="00066852" w:rsidP="00C96A23"/>
    <w:p w14:paraId="5B5A1CFF" w14:textId="77777777" w:rsidR="00066852" w:rsidRDefault="00066852" w:rsidP="00C96A23">
      <w:pPr>
        <w:rPr>
          <w:rFonts w:asciiTheme="majorHAnsi" w:eastAsiaTheme="majorEastAsia" w:hAnsiTheme="majorHAnsi" w:cstheme="majorBidi"/>
          <w:color w:val="002060"/>
          <w:sz w:val="40"/>
          <w:szCs w:val="28"/>
        </w:rPr>
      </w:pPr>
      <w:r>
        <w:br w:type="page"/>
      </w:r>
    </w:p>
    <w:p w14:paraId="3D4D94E0" w14:textId="71CDD279" w:rsidR="003D5AEF" w:rsidRDefault="00666CA2" w:rsidP="003D5AEF">
      <w:pPr>
        <w:pStyle w:val="Heading1"/>
      </w:pPr>
      <w:bookmarkStart w:id="36" w:name="_Toc525123772"/>
      <w:r>
        <w:t>Appendix B</w:t>
      </w:r>
      <w:r w:rsidR="003D5AEF">
        <w:t xml:space="preserve"> – Building Classifications</w:t>
      </w:r>
      <w:bookmarkEnd w:id="13"/>
      <w:bookmarkEnd w:id="36"/>
    </w:p>
    <w:p w14:paraId="5A2BB051" w14:textId="3B5D6640" w:rsidR="00666CA2" w:rsidRDefault="00666CA2" w:rsidP="003D5AEF">
      <w:r>
        <w:t>This appendix provides information on relevant NCC building classifications. Building classifications are use</w:t>
      </w:r>
      <w:r w:rsidR="007E6D20">
        <w:t>d</w:t>
      </w:r>
      <w:r>
        <w:t xml:space="preserve"> in the NCC to assist in determining which of the NCC's requirements are applicable to particular types of building</w:t>
      </w:r>
      <w:r w:rsidR="007E6D20">
        <w:t>s</w:t>
      </w:r>
      <w:r>
        <w:t xml:space="preserve">. </w:t>
      </w:r>
    </w:p>
    <w:p w14:paraId="646036D9" w14:textId="1B5A3A7A" w:rsidR="003D5AEF" w:rsidRDefault="00285CF3" w:rsidP="003D5AEF">
      <w:r>
        <w:t>The NCC defines Class 1 and Class 2 buildings as follows</w:t>
      </w:r>
      <w:r w:rsidR="000562F3">
        <w:t xml:space="preserve"> (extracted from NCC 2016)</w:t>
      </w:r>
      <w:r>
        <w:t>:</w:t>
      </w:r>
    </w:p>
    <w:p w14:paraId="243E57D0" w14:textId="27AF867A" w:rsidR="00285CF3" w:rsidRDefault="00285CF3" w:rsidP="003D5AEF">
      <w:r>
        <w:rPr>
          <w:b/>
        </w:rPr>
        <w:t xml:space="preserve">Class 1: </w:t>
      </w:r>
      <w:r>
        <w:t>One or more buildings which in association constitute—</w:t>
      </w:r>
    </w:p>
    <w:p w14:paraId="35BCD120" w14:textId="580BC9FB" w:rsidR="00285CF3" w:rsidRDefault="00285CF3" w:rsidP="003D5AEF">
      <w:r>
        <w:t>(a)</w:t>
      </w:r>
      <w:r>
        <w:tab/>
      </w:r>
      <w:r>
        <w:rPr>
          <w:b/>
        </w:rPr>
        <w:t xml:space="preserve">Class 1a </w:t>
      </w:r>
      <w:r>
        <w:t>— a single dwelling being —</w:t>
      </w:r>
    </w:p>
    <w:p w14:paraId="4E095B99" w14:textId="21030C1D" w:rsidR="00285CF3" w:rsidRDefault="00285CF3" w:rsidP="003D5AEF">
      <w:r>
        <w:tab/>
        <w:t>(i)</w:t>
      </w:r>
      <w:r>
        <w:tab/>
        <w:t>a detached house; or</w:t>
      </w:r>
    </w:p>
    <w:p w14:paraId="7E3060EB" w14:textId="62867498" w:rsidR="00285CF3" w:rsidRDefault="00285CF3" w:rsidP="003D5AEF">
      <w:r>
        <w:tab/>
        <w:t>(ii)</w:t>
      </w:r>
      <w:r>
        <w:tab/>
        <w:t xml:space="preserve">one of a group of two or more attached dwellings, each being a building, </w:t>
      </w:r>
      <w:r>
        <w:tab/>
      </w:r>
      <w:r>
        <w:tab/>
      </w:r>
      <w:r>
        <w:tab/>
        <w:t xml:space="preserve">separated by a fire-resisting wall, including a row house, terrace house, town </w:t>
      </w:r>
      <w:r>
        <w:tab/>
      </w:r>
      <w:r>
        <w:tab/>
        <w:t>house or villa unit; or</w:t>
      </w:r>
    </w:p>
    <w:p w14:paraId="0924C42C" w14:textId="784CBD0B" w:rsidR="00285CF3" w:rsidRDefault="00285CF3" w:rsidP="003D5AEF">
      <w:r>
        <w:t>(b)</w:t>
      </w:r>
      <w:r>
        <w:tab/>
      </w:r>
      <w:r>
        <w:rPr>
          <w:b/>
        </w:rPr>
        <w:t xml:space="preserve">Class 1b </w:t>
      </w:r>
      <w:r>
        <w:t>—</w:t>
      </w:r>
    </w:p>
    <w:p w14:paraId="2FD0CCC7" w14:textId="78E0FF77" w:rsidR="00285CF3" w:rsidRDefault="00285CF3" w:rsidP="003D5AEF">
      <w:r>
        <w:tab/>
        <w:t>(i)</w:t>
      </w:r>
      <w:r>
        <w:tab/>
      </w:r>
      <w:r w:rsidR="000562F3">
        <w:t>a boarding house, guest house, hostel or the like—</w:t>
      </w:r>
    </w:p>
    <w:p w14:paraId="00813BD5" w14:textId="6E86CE19" w:rsidR="000562F3" w:rsidRDefault="000562F3" w:rsidP="003D5AEF">
      <w:r>
        <w:tab/>
      </w:r>
      <w:r>
        <w:tab/>
        <w:t>(A)</w:t>
      </w:r>
      <w:r>
        <w:tab/>
        <w:t>with a total area of all floors not exceeding 300 m</w:t>
      </w:r>
      <w:r w:rsidRPr="000562F3">
        <w:rPr>
          <w:vertAlign w:val="superscript"/>
        </w:rPr>
        <w:t>2</w:t>
      </w:r>
      <w:r>
        <w:t xml:space="preserve"> measured over the </w:t>
      </w:r>
      <w:r>
        <w:tab/>
      </w:r>
      <w:r>
        <w:tab/>
      </w:r>
      <w:r>
        <w:tab/>
        <w:t>enclosing walls of the Class 1b; and</w:t>
      </w:r>
    </w:p>
    <w:p w14:paraId="36D04228" w14:textId="043CC28A" w:rsidR="000562F3" w:rsidRDefault="000562F3" w:rsidP="003D5AEF">
      <w:r>
        <w:tab/>
      </w:r>
      <w:r>
        <w:tab/>
        <w:t>(B)</w:t>
      </w:r>
      <w:r>
        <w:tab/>
        <w:t>in which not more than 12 persons would ordinarily be resident; or</w:t>
      </w:r>
    </w:p>
    <w:p w14:paraId="565489F1" w14:textId="7AB50A3D" w:rsidR="000562F3" w:rsidRDefault="000562F3" w:rsidP="003D5AEF">
      <w:r>
        <w:tab/>
        <w:t>(ii)</w:t>
      </w:r>
      <w:r>
        <w:tab/>
        <w:t xml:space="preserve">4 or more single dwellings located on one allotment and used for short-term </w:t>
      </w:r>
      <w:r>
        <w:tab/>
      </w:r>
      <w:r>
        <w:tab/>
        <w:t>holiday accommodation,</w:t>
      </w:r>
    </w:p>
    <w:p w14:paraId="0BBD5D68" w14:textId="6B8EBA52" w:rsidR="000562F3" w:rsidRDefault="000562F3" w:rsidP="003D5AEF">
      <w:r>
        <w:t>which are not located above or below another dwelling or another Class of building other than a private garage.</w:t>
      </w:r>
    </w:p>
    <w:p w14:paraId="7B574882" w14:textId="0AD744C1" w:rsidR="000562F3" w:rsidRDefault="000562F3" w:rsidP="003D5AEF">
      <w:r>
        <w:t xml:space="preserve">( </w:t>
      </w:r>
      <w:r w:rsidRPr="000562F3">
        <w:rPr>
          <w:u w:val="single"/>
        </w:rPr>
        <w:t>Note</w:t>
      </w:r>
      <w:r>
        <w:t>: Class 1b buildings are outside the scope of the proposal. )</w:t>
      </w:r>
    </w:p>
    <w:p w14:paraId="6F820F38" w14:textId="30826255" w:rsidR="000562F3" w:rsidRDefault="000562F3" w:rsidP="003D5AEF">
      <w:r>
        <w:rPr>
          <w:b/>
        </w:rPr>
        <w:t>Class 2:</w:t>
      </w:r>
      <w:r>
        <w:t xml:space="preserve"> a building containing 2 or more sole occupancy units each being a separate dwelling.</w:t>
      </w:r>
    </w:p>
    <w:p w14:paraId="23F2B123" w14:textId="474F0F4A" w:rsidR="00103A29" w:rsidRDefault="000562F3" w:rsidP="003D5AEF">
      <w:r>
        <w:t>The term 'sole occupancy unit', in this context, means a room or other part of a building for occupation by one or joint owner, lessee, tenant, or other occupier to the exclusion of any other owner, lessee, tenant, or other occupier</w:t>
      </w:r>
      <w:r w:rsidR="00656C67">
        <w:t>.</w:t>
      </w:r>
      <w:r w:rsidR="00656C67">
        <w:rPr>
          <w:rStyle w:val="FootnoteReference"/>
        </w:rPr>
        <w:footnoteReference w:id="45"/>
      </w:r>
    </w:p>
    <w:p w14:paraId="474260D3" w14:textId="1FD5BA25" w:rsidR="00314D30" w:rsidRPr="00F44924" w:rsidRDefault="00314D30" w:rsidP="00F44924">
      <w:pPr>
        <w:jc w:val="left"/>
      </w:pPr>
      <w:r>
        <w:br w:type="page"/>
      </w:r>
    </w:p>
    <w:p w14:paraId="0F990E3D" w14:textId="6552EBD0" w:rsidR="000562F3" w:rsidRDefault="00103A29" w:rsidP="00103A29">
      <w:pPr>
        <w:pStyle w:val="Heading1"/>
      </w:pPr>
      <w:bookmarkStart w:id="37" w:name="_Toc525123773"/>
      <w:r>
        <w:t>Appendix C – Acronyms and Abbreviations</w:t>
      </w:r>
      <w:bookmarkEnd w:id="37"/>
    </w:p>
    <w:p w14:paraId="57CB25F0" w14:textId="0B91EC25" w:rsidR="00103A29" w:rsidRDefault="00223D9A" w:rsidP="00103A29">
      <w:r>
        <w:t>The following acronyms and abbreviations are us</w:t>
      </w:r>
      <w:r w:rsidR="00A7660F">
        <w:t>ed throughout the Options Paper:</w:t>
      </w:r>
    </w:p>
    <w:p w14:paraId="549B592B" w14:textId="27372463" w:rsidR="00223D9A" w:rsidRDefault="00223D9A" w:rsidP="00A20E85">
      <w:pPr>
        <w:spacing w:after="120"/>
      </w:pPr>
      <w:r w:rsidRPr="00A20E85">
        <w:rPr>
          <w:b/>
        </w:rPr>
        <w:t>ABCB</w:t>
      </w:r>
      <w:r>
        <w:t>, means Australian Building Codes Board</w:t>
      </w:r>
      <w:r w:rsidR="00A20E85">
        <w:t>.</w:t>
      </w:r>
    </w:p>
    <w:p w14:paraId="12410F52" w14:textId="6A479C33" w:rsidR="00223D9A" w:rsidRDefault="00223D9A" w:rsidP="00A20E85">
      <w:pPr>
        <w:spacing w:after="120"/>
      </w:pPr>
      <w:r w:rsidRPr="00223D9A">
        <w:rPr>
          <w:b/>
          <w:bCs/>
        </w:rPr>
        <w:t>above n</w:t>
      </w:r>
      <w:r w:rsidRPr="00223D9A">
        <w:t>, followed by a number, is used in the footnotes to direct the reader to an earlier footnote, generally for the purpose of locating the full details of a source cited.</w:t>
      </w:r>
    </w:p>
    <w:p w14:paraId="70EA647A" w14:textId="39132389" w:rsidR="00A7660F" w:rsidRDefault="00A7660F" w:rsidP="00A20E85">
      <w:pPr>
        <w:spacing w:after="120"/>
      </w:pPr>
      <w:r>
        <w:rPr>
          <w:b/>
        </w:rPr>
        <w:t>ACT</w:t>
      </w:r>
      <w:r>
        <w:t>, means Australian Capital Territory.</w:t>
      </w:r>
    </w:p>
    <w:p w14:paraId="0C2EC7E3" w14:textId="5616A992" w:rsidR="005A67E8" w:rsidRDefault="005A67E8" w:rsidP="00A20E85">
      <w:pPr>
        <w:spacing w:after="120"/>
      </w:pPr>
      <w:r>
        <w:rPr>
          <w:b/>
        </w:rPr>
        <w:t>ANUHD</w:t>
      </w:r>
      <w:r>
        <w:t>, means Australian Network on Universal Housing Design.</w:t>
      </w:r>
    </w:p>
    <w:p w14:paraId="3FE332D4" w14:textId="6486398B" w:rsidR="00940245" w:rsidRDefault="00940245" w:rsidP="00A20E85">
      <w:pPr>
        <w:spacing w:after="120"/>
      </w:pPr>
      <w:r>
        <w:rPr>
          <w:b/>
        </w:rPr>
        <w:t>BCC</w:t>
      </w:r>
      <w:r>
        <w:t>, means Building Codes Committee.</w:t>
      </w:r>
    </w:p>
    <w:p w14:paraId="04C97433" w14:textId="3F7B8359" w:rsidR="00A20E85" w:rsidRDefault="00A20E85" w:rsidP="00A20E85">
      <w:pPr>
        <w:spacing w:after="120"/>
      </w:pPr>
      <w:r w:rsidRPr="00A20E85">
        <w:rPr>
          <w:b/>
        </w:rPr>
        <w:t>BMF</w:t>
      </w:r>
      <w:r>
        <w:t>, means Building Ministers' Forum.</w:t>
      </w:r>
    </w:p>
    <w:p w14:paraId="006AB75E" w14:textId="5BBDA9B1" w:rsidR="00A20E85" w:rsidRDefault="00A20E85" w:rsidP="00A20E85">
      <w:pPr>
        <w:spacing w:after="120"/>
      </w:pPr>
      <w:r>
        <w:rPr>
          <w:b/>
        </w:rPr>
        <w:t>COAG</w:t>
      </w:r>
      <w:r>
        <w:t>, means Council of Australia</w:t>
      </w:r>
      <w:r w:rsidR="00656C67">
        <w:t>n</w:t>
      </w:r>
      <w:r>
        <w:t xml:space="preserve"> Governments.</w:t>
      </w:r>
    </w:p>
    <w:p w14:paraId="2598BF4D" w14:textId="7D683678" w:rsidR="008F1DBC" w:rsidRDefault="008F1DBC" w:rsidP="00A20E85">
      <w:pPr>
        <w:spacing w:after="120"/>
      </w:pPr>
      <w:r>
        <w:rPr>
          <w:b/>
        </w:rPr>
        <w:t>Cwlth.</w:t>
      </w:r>
      <w:r>
        <w:t>, means Commonwealth.</w:t>
      </w:r>
    </w:p>
    <w:p w14:paraId="403D4E14" w14:textId="22DF0289" w:rsidR="009F07FE" w:rsidRDefault="009F07FE" w:rsidP="00A20E85">
      <w:pPr>
        <w:spacing w:after="120"/>
      </w:pPr>
      <w:r>
        <w:rPr>
          <w:b/>
        </w:rPr>
        <w:t>DCWC</w:t>
      </w:r>
      <w:r>
        <w:t>, means Donald Cant Watts Corke (quantity surveyors).</w:t>
      </w:r>
    </w:p>
    <w:p w14:paraId="6142AC3E" w14:textId="65165A72" w:rsidR="008F1DBC" w:rsidRDefault="008F1DBC" w:rsidP="00A20E85">
      <w:pPr>
        <w:spacing w:after="120"/>
      </w:pPr>
      <w:r>
        <w:rPr>
          <w:b/>
        </w:rPr>
        <w:t>DDA</w:t>
      </w:r>
      <w:r>
        <w:t xml:space="preserve">, means </w:t>
      </w:r>
      <w:r w:rsidRPr="009F07FE">
        <w:rPr>
          <w:i/>
        </w:rPr>
        <w:t>Disability Discrimination Act 1992</w:t>
      </w:r>
      <w:r>
        <w:t xml:space="preserve"> (Cwlth.)</w:t>
      </w:r>
    </w:p>
    <w:p w14:paraId="32F1734E" w14:textId="4C4DDFB6" w:rsidR="001778DE" w:rsidRDefault="001778DE" w:rsidP="00A20E85">
      <w:pPr>
        <w:spacing w:after="120"/>
      </w:pPr>
      <w:r>
        <w:rPr>
          <w:b/>
        </w:rPr>
        <w:t>DPCD</w:t>
      </w:r>
      <w:r>
        <w:t xml:space="preserve">, means Department of Planning and Community Development (Victoria). </w:t>
      </w:r>
    </w:p>
    <w:p w14:paraId="1C55850B" w14:textId="66499B3E" w:rsidR="00A7660F" w:rsidRDefault="00A7660F" w:rsidP="00A20E85">
      <w:pPr>
        <w:spacing w:after="120"/>
      </w:pPr>
      <w:r>
        <w:rPr>
          <w:b/>
        </w:rPr>
        <w:t>DRC</w:t>
      </w:r>
      <w:r>
        <w:t>, means Disability Reform Council.</w:t>
      </w:r>
    </w:p>
    <w:p w14:paraId="0DDC7BC6" w14:textId="3749E7CC" w:rsidR="00771BF9" w:rsidRDefault="00771BF9" w:rsidP="00A20E85">
      <w:pPr>
        <w:spacing w:after="120"/>
      </w:pPr>
      <w:r>
        <w:rPr>
          <w:b/>
        </w:rPr>
        <w:t>DtS</w:t>
      </w:r>
      <w:r>
        <w:t>, means Deemed-to-Satisfy (Provision).</w:t>
      </w:r>
    </w:p>
    <w:p w14:paraId="1619EAE1" w14:textId="28A8E2C4" w:rsidR="00616CC1" w:rsidRDefault="00616CC1" w:rsidP="00A20E85">
      <w:pPr>
        <w:spacing w:after="120"/>
      </w:pPr>
      <w:r w:rsidRPr="00A7660F">
        <w:rPr>
          <w:b/>
          <w:bCs/>
          <w:iCs/>
        </w:rPr>
        <w:t>Ibid.</w:t>
      </w:r>
      <w:r w:rsidRPr="00616CC1">
        <w:rPr>
          <w:i/>
          <w:iCs/>
        </w:rPr>
        <w:t xml:space="preserve">, </w:t>
      </w:r>
      <w:r w:rsidRPr="00616CC1">
        <w:t xml:space="preserve">used in the footnotes, means ‘in the same place’ (L </w:t>
      </w:r>
      <w:r w:rsidRPr="00616CC1">
        <w:rPr>
          <w:i/>
          <w:iCs/>
        </w:rPr>
        <w:t>‘ibidem’</w:t>
      </w:r>
      <w:r w:rsidRPr="00616CC1">
        <w:t>). It is used to refer to a source cited in the footnote above.</w:t>
      </w:r>
    </w:p>
    <w:p w14:paraId="71D514A1" w14:textId="6659979A" w:rsidR="00616CC1" w:rsidRDefault="00616CC1" w:rsidP="00A20E85">
      <w:pPr>
        <w:spacing w:after="120"/>
      </w:pPr>
      <w:r>
        <w:rPr>
          <w:b/>
        </w:rPr>
        <w:t>IGA</w:t>
      </w:r>
      <w:r>
        <w:t>, means Inter-governmental Agreement.</w:t>
      </w:r>
    </w:p>
    <w:p w14:paraId="30D58CB1" w14:textId="79CF9B99" w:rsidR="00A7660F" w:rsidRDefault="00A7660F" w:rsidP="00A20E85">
      <w:pPr>
        <w:spacing w:after="120"/>
      </w:pPr>
      <w:r>
        <w:rPr>
          <w:b/>
        </w:rPr>
        <w:t>LHA</w:t>
      </w:r>
      <w:r>
        <w:t>, means Livable Housing Australia.</w:t>
      </w:r>
    </w:p>
    <w:p w14:paraId="2E472127" w14:textId="6059115D" w:rsidR="00A7660F" w:rsidRDefault="00A7660F" w:rsidP="00A20E85">
      <w:pPr>
        <w:spacing w:after="120"/>
      </w:pPr>
      <w:r>
        <w:rPr>
          <w:b/>
        </w:rPr>
        <w:t>LHDG</w:t>
      </w:r>
      <w:r>
        <w:t>, means Livable Housing Design Guidelines.</w:t>
      </w:r>
    </w:p>
    <w:p w14:paraId="144B56EA" w14:textId="4A168224" w:rsidR="00A20E85" w:rsidRDefault="00A20E85" w:rsidP="00A20E85">
      <w:pPr>
        <w:spacing w:after="120"/>
      </w:pPr>
      <w:r>
        <w:rPr>
          <w:b/>
        </w:rPr>
        <w:t>NCC</w:t>
      </w:r>
      <w:r>
        <w:t>, means National Construction Code.</w:t>
      </w:r>
    </w:p>
    <w:p w14:paraId="760FE084" w14:textId="6A61FFCA" w:rsidR="005A67E8" w:rsidRDefault="005A67E8" w:rsidP="00A20E85">
      <w:pPr>
        <w:spacing w:after="120"/>
      </w:pPr>
      <w:r>
        <w:rPr>
          <w:b/>
        </w:rPr>
        <w:t>NDIS</w:t>
      </w:r>
      <w:r>
        <w:t>, means National Disability Insurance Scheme.</w:t>
      </w:r>
    </w:p>
    <w:p w14:paraId="2F04E8C1" w14:textId="3983A34E" w:rsidR="005A67E8" w:rsidRDefault="005A67E8" w:rsidP="00A20E85">
      <w:pPr>
        <w:spacing w:after="120"/>
      </w:pPr>
      <w:r>
        <w:rPr>
          <w:b/>
        </w:rPr>
        <w:t>NDS</w:t>
      </w:r>
      <w:r w:rsidR="00B3157C">
        <w:t>, means N</w:t>
      </w:r>
      <w:r>
        <w:t>ational Disability Strategy.</w:t>
      </w:r>
    </w:p>
    <w:p w14:paraId="4A73AE7D" w14:textId="3B153D00" w:rsidR="00C04402" w:rsidRDefault="00C04402" w:rsidP="00A20E85">
      <w:pPr>
        <w:spacing w:after="120"/>
      </w:pPr>
      <w:r>
        <w:rPr>
          <w:b/>
        </w:rPr>
        <w:t>NSW</w:t>
      </w:r>
      <w:r>
        <w:t>, means New South Wales.</w:t>
      </w:r>
    </w:p>
    <w:p w14:paraId="7C754CEE" w14:textId="1B1B804B" w:rsidR="00C04402" w:rsidRDefault="00C04402" w:rsidP="00A20E85">
      <w:pPr>
        <w:spacing w:after="120"/>
      </w:pPr>
      <w:r>
        <w:rPr>
          <w:b/>
        </w:rPr>
        <w:t>NT</w:t>
      </w:r>
      <w:r>
        <w:t>, means Northern Territory.</w:t>
      </w:r>
    </w:p>
    <w:p w14:paraId="628C3802" w14:textId="0E79D269" w:rsidR="001778DE" w:rsidRDefault="001778DE" w:rsidP="00A20E85">
      <w:pPr>
        <w:spacing w:after="120"/>
      </w:pPr>
      <w:r>
        <w:rPr>
          <w:b/>
        </w:rPr>
        <w:t>OBPR</w:t>
      </w:r>
      <w:r>
        <w:t>, means Office of Best Practice Regulation.</w:t>
      </w:r>
    </w:p>
    <w:p w14:paraId="05DFA60D" w14:textId="3152006F" w:rsidR="00240593" w:rsidRDefault="00240593" w:rsidP="00A20E85">
      <w:pPr>
        <w:spacing w:after="120"/>
      </w:pPr>
      <w:r w:rsidRPr="00240593">
        <w:rPr>
          <w:b/>
        </w:rPr>
        <w:t>Options Paper</w:t>
      </w:r>
      <w:r>
        <w:t>, means the ABCB Accessible Housing Options Paper (this document).</w:t>
      </w:r>
    </w:p>
    <w:p w14:paraId="0C5A83DC" w14:textId="7684200D" w:rsidR="00940245" w:rsidRDefault="00940245" w:rsidP="00A20E85">
      <w:pPr>
        <w:spacing w:after="120"/>
      </w:pPr>
      <w:r>
        <w:rPr>
          <w:b/>
        </w:rPr>
        <w:t>PCC</w:t>
      </w:r>
      <w:r>
        <w:t>, means Plumbing Code Committee.</w:t>
      </w:r>
    </w:p>
    <w:p w14:paraId="4EBF4734" w14:textId="296B20F7" w:rsidR="00771BF9" w:rsidRDefault="00771BF9" w:rsidP="00A20E85">
      <w:pPr>
        <w:spacing w:after="120"/>
      </w:pPr>
      <w:r>
        <w:rPr>
          <w:b/>
        </w:rPr>
        <w:t>PFC</w:t>
      </w:r>
      <w:r>
        <w:t>, means Proposal-for-Change.</w:t>
      </w:r>
    </w:p>
    <w:p w14:paraId="2CBD1A54" w14:textId="0A66B337" w:rsidR="00EC35D6" w:rsidRDefault="00EC35D6" w:rsidP="00A20E85">
      <w:pPr>
        <w:spacing w:after="120"/>
      </w:pPr>
      <w:r>
        <w:rPr>
          <w:b/>
        </w:rPr>
        <w:t>Qld.</w:t>
      </w:r>
      <w:r>
        <w:t>, means Queensland.</w:t>
      </w:r>
    </w:p>
    <w:p w14:paraId="3E741E4E" w14:textId="0F22B78F" w:rsidR="005A67E8" w:rsidRDefault="005A67E8" w:rsidP="00A20E85">
      <w:pPr>
        <w:spacing w:after="120"/>
      </w:pPr>
      <w:r>
        <w:rPr>
          <w:b/>
        </w:rPr>
        <w:t>R&amp;IA</w:t>
      </w:r>
      <w:r>
        <w:t>, means Rights &amp; Inclusion Australia.</w:t>
      </w:r>
    </w:p>
    <w:p w14:paraId="07682032" w14:textId="5BD6DF99" w:rsidR="00A7660F" w:rsidRDefault="00A7660F" w:rsidP="00A20E85">
      <w:pPr>
        <w:spacing w:after="120"/>
      </w:pPr>
      <w:r>
        <w:rPr>
          <w:b/>
        </w:rPr>
        <w:t>RIA</w:t>
      </w:r>
      <w:r>
        <w:t>, means Regulat</w:t>
      </w:r>
      <w:r w:rsidR="00606673">
        <w:t>ion</w:t>
      </w:r>
      <w:r>
        <w:t xml:space="preserve"> Impact Assessment. An RIS is one component of the RIA process.</w:t>
      </w:r>
    </w:p>
    <w:p w14:paraId="674DE5F0" w14:textId="705BF926" w:rsidR="00656C67" w:rsidRDefault="00A7660F" w:rsidP="00A20E85">
      <w:pPr>
        <w:spacing w:after="120"/>
      </w:pPr>
      <w:r>
        <w:rPr>
          <w:b/>
        </w:rPr>
        <w:t>RIS</w:t>
      </w:r>
      <w:r>
        <w:t>, means Regulat</w:t>
      </w:r>
      <w:r w:rsidR="00606673">
        <w:t>ion</w:t>
      </w:r>
      <w:r>
        <w:t xml:space="preserve"> Impact Statement.</w:t>
      </w:r>
    </w:p>
    <w:p w14:paraId="45CE9805" w14:textId="19E1F9E9" w:rsidR="00940245" w:rsidRDefault="00940245" w:rsidP="00A20E85">
      <w:pPr>
        <w:spacing w:after="120"/>
        <w:rPr>
          <w:b/>
        </w:rPr>
      </w:pPr>
      <w:r>
        <w:t>(</w:t>
      </w:r>
      <w:r w:rsidRPr="00940245">
        <w:rPr>
          <w:i/>
        </w:rPr>
        <w:t>Acronyms and Abbreviations, continued</w:t>
      </w:r>
      <w:r>
        <w:t>)</w:t>
      </w:r>
    </w:p>
    <w:p w14:paraId="73FAC0BB" w14:textId="411A4DE4" w:rsidR="00C04402" w:rsidRDefault="00C04402" w:rsidP="00A20E85">
      <w:pPr>
        <w:spacing w:after="120"/>
      </w:pPr>
      <w:r>
        <w:rPr>
          <w:b/>
        </w:rPr>
        <w:t>SA</w:t>
      </w:r>
      <w:r>
        <w:t>, means South Australia.</w:t>
      </w:r>
    </w:p>
    <w:p w14:paraId="3E9645E3" w14:textId="2213EA62" w:rsidR="00EC35D6" w:rsidRDefault="00EC35D6" w:rsidP="00A20E85">
      <w:pPr>
        <w:spacing w:after="120"/>
      </w:pPr>
      <w:r>
        <w:rPr>
          <w:b/>
        </w:rPr>
        <w:t>Tas.</w:t>
      </w:r>
      <w:r>
        <w:t>, means Tasmania.</w:t>
      </w:r>
    </w:p>
    <w:p w14:paraId="0D201009" w14:textId="6FA790B0" w:rsidR="00EC35D6" w:rsidRDefault="00EC35D6" w:rsidP="00A20E85">
      <w:pPr>
        <w:spacing w:after="120"/>
      </w:pPr>
      <w:r>
        <w:rPr>
          <w:b/>
        </w:rPr>
        <w:t>Vic.</w:t>
      </w:r>
      <w:r>
        <w:t>, means Victoria.</w:t>
      </w:r>
    </w:p>
    <w:p w14:paraId="7B03961F" w14:textId="15E49930" w:rsidR="00F30E6D" w:rsidRDefault="00EC35D6" w:rsidP="00CC52FA">
      <w:pPr>
        <w:spacing w:after="120"/>
      </w:pPr>
      <w:r>
        <w:rPr>
          <w:b/>
        </w:rPr>
        <w:t>VM</w:t>
      </w:r>
      <w:r>
        <w:t>, means Verification Method.</w:t>
      </w:r>
    </w:p>
    <w:p w14:paraId="33160F41" w14:textId="77777777" w:rsidR="00F30E6D" w:rsidRDefault="00F30E6D">
      <w:pPr>
        <w:jc w:val="left"/>
      </w:pPr>
      <w:r>
        <w:br w:type="page"/>
      </w:r>
    </w:p>
    <w:p w14:paraId="22AB3D58" w14:textId="0ED8E9D9" w:rsidR="00F30E6D" w:rsidRDefault="00302840" w:rsidP="00F30E6D">
      <w:pPr>
        <w:pStyle w:val="Heading1"/>
      </w:pPr>
      <w:bookmarkStart w:id="38" w:name="_Toc525123774"/>
      <w:r>
        <w:t>Consultation Questions</w:t>
      </w:r>
      <w:bookmarkEnd w:id="38"/>
    </w:p>
    <w:p w14:paraId="5D62A3A5" w14:textId="04DD97EC" w:rsidR="008D6D7B" w:rsidRDefault="008D6D7B" w:rsidP="008D6D7B">
      <w:r>
        <w:t>This appendix sets out a series of consultation questions that are intended to stimulate discussion and guide responses to this Options Paper.</w:t>
      </w:r>
    </w:p>
    <w:p w14:paraId="01A6364F" w14:textId="338D4497" w:rsidR="008D6D7B" w:rsidRDefault="008D6D7B" w:rsidP="008D6D7B">
      <w:r>
        <w:t>For an editable version of this form, please download the Microsoft Word version</w:t>
      </w:r>
      <w:r w:rsidR="00240593">
        <w:t xml:space="preserve"> from the ABCB website</w:t>
      </w:r>
      <w:r>
        <w:t>.</w:t>
      </w:r>
    </w:p>
    <w:p w14:paraId="76CD9588" w14:textId="7F0791E3" w:rsidR="008D6D7B" w:rsidRDefault="0064120C" w:rsidP="0064120C">
      <w:pPr>
        <w:pStyle w:val="Heading2"/>
      </w:pPr>
      <w:r>
        <w:t>Your details</w:t>
      </w:r>
    </w:p>
    <w:p w14:paraId="770D47A9" w14:textId="53830A71" w:rsidR="0064120C" w:rsidRPr="0064120C" w:rsidRDefault="0064120C" w:rsidP="0064120C">
      <w:r>
        <w:t>Note: You do not need to provide this information, however doing so will enable us to contact you if we need to seek clarification or further information regarding your response.</w:t>
      </w:r>
    </w:p>
    <w:p w14:paraId="3BF9F3B7" w14:textId="01D6C2FC" w:rsidR="0064120C" w:rsidRDefault="0064120C" w:rsidP="0064120C">
      <w:pPr>
        <w:rPr>
          <w:rFonts w:cs="Arial"/>
        </w:rPr>
      </w:pPr>
      <w:r>
        <w:rPr>
          <w:b/>
        </w:rPr>
        <w:t>Name:</w:t>
      </w:r>
      <w:r>
        <w:rPr>
          <w:b/>
        </w:rPr>
        <w:tab/>
      </w:r>
      <w:sdt>
        <w:sdtPr>
          <w:rPr>
            <w:rFonts w:cs="Arial"/>
          </w:rPr>
          <w:id w:val="2013875403"/>
          <w:placeholder>
            <w:docPart w:val="54C486ED94FC47ABBE301CAE0A25A628"/>
          </w:placeholder>
          <w:showingPlcHdr/>
          <w:text/>
        </w:sdtPr>
        <w:sdtEndPr/>
        <w:sdtContent>
          <w:r w:rsidRPr="004D55AA">
            <w:rPr>
              <w:rStyle w:val="PlaceholderText"/>
              <w:rFonts w:cs="Arial"/>
              <w:i/>
            </w:rPr>
            <w:t>Click here to enter text.</w:t>
          </w:r>
        </w:sdtContent>
      </w:sdt>
    </w:p>
    <w:p w14:paraId="2B501AFB" w14:textId="151141A4" w:rsidR="0064120C" w:rsidRDefault="0064120C" w:rsidP="0064120C">
      <w:pPr>
        <w:rPr>
          <w:rFonts w:cs="Arial"/>
          <w:b/>
        </w:rPr>
      </w:pPr>
      <w:r>
        <w:rPr>
          <w:rFonts w:cs="Arial"/>
          <w:b/>
        </w:rPr>
        <w:t xml:space="preserve">State / Territory: </w:t>
      </w:r>
      <w:sdt>
        <w:sdtPr>
          <w:rPr>
            <w:rFonts w:cs="Arial"/>
          </w:rPr>
          <w:id w:val="188963215"/>
          <w:placeholder>
            <w:docPart w:val="82C86A657E4F49E984BC8269A3AD8999"/>
          </w:placeholder>
          <w:showingPlcHdr/>
          <w:text/>
        </w:sdtPr>
        <w:sdtEndPr/>
        <w:sdtContent>
          <w:r w:rsidRPr="004D55AA">
            <w:rPr>
              <w:rStyle w:val="PlaceholderText"/>
              <w:rFonts w:cs="Arial"/>
              <w:i/>
            </w:rPr>
            <w:t>Click here to enter text.</w:t>
          </w:r>
        </w:sdtContent>
      </w:sdt>
    </w:p>
    <w:p w14:paraId="7FF8AB76" w14:textId="765649A8" w:rsidR="0064120C" w:rsidRDefault="0064120C" w:rsidP="003937A8">
      <w:pPr>
        <w:tabs>
          <w:tab w:val="left" w:pos="5160"/>
        </w:tabs>
        <w:rPr>
          <w:rFonts w:cs="Arial"/>
        </w:rPr>
      </w:pPr>
      <w:r>
        <w:rPr>
          <w:rFonts w:cs="Arial"/>
          <w:b/>
        </w:rPr>
        <w:t xml:space="preserve">Telephone number: </w:t>
      </w:r>
      <w:sdt>
        <w:sdtPr>
          <w:rPr>
            <w:rFonts w:cs="Arial"/>
          </w:rPr>
          <w:id w:val="2082102400"/>
          <w:placeholder>
            <w:docPart w:val="E31E7223900D43ED9412DF51FA0C0873"/>
          </w:placeholder>
          <w:showingPlcHdr/>
          <w:text/>
        </w:sdtPr>
        <w:sdtEndPr/>
        <w:sdtContent>
          <w:r w:rsidRPr="004D55AA">
            <w:rPr>
              <w:rStyle w:val="PlaceholderText"/>
              <w:rFonts w:cs="Arial"/>
              <w:i/>
            </w:rPr>
            <w:t>Click here to enter text.</w:t>
          </w:r>
        </w:sdtContent>
      </w:sdt>
      <w:r w:rsidR="003937A8">
        <w:rPr>
          <w:rFonts w:cs="Arial"/>
        </w:rPr>
        <w:tab/>
      </w:r>
    </w:p>
    <w:p w14:paraId="194664FD" w14:textId="4DB2CF9B" w:rsidR="0064120C" w:rsidRPr="0064120C" w:rsidRDefault="0064120C" w:rsidP="0064120C">
      <w:pPr>
        <w:pBdr>
          <w:bottom w:val="single" w:sz="4" w:space="1" w:color="auto"/>
        </w:pBdr>
        <w:rPr>
          <w:b/>
        </w:rPr>
      </w:pPr>
      <w:r w:rsidRPr="0064120C">
        <w:rPr>
          <w:b/>
        </w:rPr>
        <w:t xml:space="preserve">Email or postal address: </w:t>
      </w:r>
      <w:sdt>
        <w:sdtPr>
          <w:rPr>
            <w:rFonts w:cs="Arial"/>
          </w:rPr>
          <w:id w:val="1471012055"/>
          <w:placeholder>
            <w:docPart w:val="84FE8A1256C3476A85C9517620A3C14F"/>
          </w:placeholder>
          <w:showingPlcHdr/>
          <w:text/>
        </w:sdtPr>
        <w:sdtEndPr/>
        <w:sdtContent>
          <w:r w:rsidRPr="0064120C">
            <w:rPr>
              <w:rStyle w:val="PlaceholderText"/>
              <w:rFonts w:cs="Arial"/>
              <w:i/>
            </w:rPr>
            <w:t>Click here to enter text.</w:t>
          </w:r>
        </w:sdtContent>
      </w:sdt>
    </w:p>
    <w:p w14:paraId="481408D7" w14:textId="527B9D62" w:rsidR="00302840" w:rsidRPr="00887A08" w:rsidRDefault="007254C8" w:rsidP="007254C8">
      <w:pPr>
        <w:pStyle w:val="Heading2"/>
      </w:pPr>
      <w:r>
        <w:t>General Questions</w:t>
      </w:r>
    </w:p>
    <w:p w14:paraId="0905A9E5" w14:textId="0850DFEC" w:rsidR="001C3547" w:rsidRDefault="001C3547" w:rsidP="00302840">
      <w:pPr>
        <w:spacing w:before="240" w:after="120"/>
        <w:rPr>
          <w:rFonts w:cs="Arial"/>
        </w:rPr>
      </w:pPr>
      <w:r>
        <w:rPr>
          <w:rFonts w:cs="Arial"/>
        </w:rPr>
        <w:t>1.</w:t>
      </w:r>
      <w:r>
        <w:rPr>
          <w:rFonts w:cs="Arial"/>
        </w:rPr>
        <w:tab/>
      </w:r>
      <w:r w:rsidRPr="00887A08">
        <w:rPr>
          <w:rFonts w:cs="Arial"/>
        </w:rPr>
        <w:t xml:space="preserve">Are you participating in this consultation as an individual or on behalf of an organisation </w:t>
      </w:r>
      <w:r>
        <w:rPr>
          <w:rFonts w:cs="Arial"/>
        </w:rPr>
        <w:tab/>
      </w:r>
      <w:r w:rsidRPr="00887A08">
        <w:rPr>
          <w:rFonts w:cs="Arial"/>
        </w:rPr>
        <w:t>or business</w:t>
      </w:r>
      <w:r>
        <w:rPr>
          <w:rFonts w:cs="Arial"/>
        </w:rPr>
        <w:t xml:space="preserve"> (tick </w:t>
      </w:r>
      <w:r w:rsidR="00225760">
        <w:rPr>
          <w:rFonts w:cs="Arial"/>
        </w:rPr>
        <w:t xml:space="preserve">one </w:t>
      </w:r>
      <w:r>
        <w:rPr>
          <w:rFonts w:cs="Arial"/>
        </w:rPr>
        <w:t>as appropriate)</w:t>
      </w:r>
      <w:r w:rsidRPr="00887A08">
        <w:rPr>
          <w:rFonts w:cs="Arial"/>
        </w:rPr>
        <w:t>?</w:t>
      </w:r>
    </w:p>
    <w:p w14:paraId="01E9621C" w14:textId="6CE53D3D" w:rsidR="001C3547" w:rsidRDefault="001C3547" w:rsidP="00302840">
      <w:pPr>
        <w:spacing w:before="240" w:after="120"/>
        <w:rPr>
          <w:rFonts w:cs="Arial"/>
        </w:rPr>
      </w:pPr>
      <w:r>
        <w:rPr>
          <w:rFonts w:cs="Arial"/>
        </w:rPr>
        <w:tab/>
      </w:r>
      <w:sdt>
        <w:sdtPr>
          <w:rPr>
            <w:rFonts w:cs="Arial"/>
          </w:rPr>
          <w:id w:val="-727384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Individual</w:t>
      </w:r>
    </w:p>
    <w:p w14:paraId="1AED1C1C" w14:textId="1531F07D" w:rsidR="001C3547" w:rsidRDefault="001C3547" w:rsidP="00302840">
      <w:pPr>
        <w:spacing w:before="240" w:after="120"/>
        <w:rPr>
          <w:rFonts w:cs="Arial"/>
        </w:rPr>
      </w:pPr>
      <w:r w:rsidRPr="005748B8">
        <w:rPr>
          <w:rFonts w:cs="Arial"/>
        </w:rPr>
        <w:tab/>
      </w:r>
      <w:sdt>
        <w:sdtPr>
          <w:rPr>
            <w:rFonts w:cs="Arial"/>
          </w:rPr>
          <w:id w:val="-591164615"/>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Organisation </w:t>
      </w:r>
    </w:p>
    <w:p w14:paraId="00C122C0" w14:textId="461490AE" w:rsidR="001C3547" w:rsidRDefault="001C3547" w:rsidP="00302840">
      <w:pPr>
        <w:spacing w:before="240" w:after="120"/>
        <w:rPr>
          <w:rFonts w:cs="Arial"/>
        </w:rPr>
      </w:pPr>
      <w:r>
        <w:rPr>
          <w:rFonts w:cs="Arial"/>
        </w:rPr>
        <w:tab/>
      </w:r>
      <w:sdt>
        <w:sdtPr>
          <w:rPr>
            <w:rFonts w:cs="Arial"/>
          </w:rPr>
          <w:id w:val="2004314528"/>
          <w14:checkbox>
            <w14:checked w14:val="0"/>
            <w14:checkedState w14:val="2612" w14:font="MS Gothic"/>
            <w14:uncheckedState w14:val="2610" w14:font="MS Gothic"/>
          </w14:checkbox>
        </w:sdtPr>
        <w:sdtEndPr/>
        <w:sdtContent>
          <w:r w:rsidR="004E12D8">
            <w:rPr>
              <w:rFonts w:ascii="MS Gothic" w:eastAsia="MS Gothic" w:hAnsi="MS Gothic" w:cs="Arial" w:hint="eastAsia"/>
            </w:rPr>
            <w:t>☐</w:t>
          </w:r>
        </w:sdtContent>
      </w:sdt>
      <w:r>
        <w:rPr>
          <w:rFonts w:cs="Arial"/>
        </w:rPr>
        <w:t xml:space="preserve"> Business</w:t>
      </w:r>
      <w:r>
        <w:rPr>
          <w:rFonts w:cs="Arial"/>
        </w:rPr>
        <w:tab/>
      </w:r>
    </w:p>
    <w:p w14:paraId="0B55F2CD" w14:textId="781C6D64" w:rsidR="004E12D8" w:rsidRPr="00225760" w:rsidRDefault="001C3547" w:rsidP="00225760">
      <w:pPr>
        <w:pBdr>
          <w:bottom w:val="single" w:sz="4" w:space="1" w:color="auto"/>
        </w:pBdr>
        <w:spacing w:before="240" w:after="120"/>
        <w:rPr>
          <w:rFonts w:cs="Arial"/>
          <w:i/>
        </w:rPr>
      </w:pPr>
      <w:r w:rsidRPr="001C3547">
        <w:rPr>
          <w:rFonts w:cs="Arial"/>
          <w:b/>
          <w:i/>
        </w:rPr>
        <w:tab/>
      </w:r>
      <w:r w:rsidRPr="001C3547">
        <w:rPr>
          <w:rFonts w:cs="Arial"/>
          <w:i/>
        </w:rPr>
        <w:t>If you have ticked ‘business’ or ‘organisation’</w:t>
      </w:r>
      <w:r w:rsidR="00225760">
        <w:rPr>
          <w:rFonts w:cs="Arial"/>
          <w:i/>
        </w:rPr>
        <w:t xml:space="preserve"> above, please skip</w:t>
      </w:r>
      <w:r w:rsidRPr="001C3547">
        <w:rPr>
          <w:rFonts w:cs="Arial"/>
          <w:i/>
        </w:rPr>
        <w:t xml:space="preserve"> to question 8.</w:t>
      </w:r>
    </w:p>
    <w:p w14:paraId="0432959F" w14:textId="54D8C655" w:rsidR="001C3547" w:rsidRDefault="001C3547" w:rsidP="00302840">
      <w:pPr>
        <w:spacing w:before="240" w:after="120"/>
        <w:rPr>
          <w:rFonts w:cs="Arial"/>
        </w:rPr>
      </w:pPr>
      <w:r w:rsidRPr="001C3547">
        <w:rPr>
          <w:rFonts w:cs="Arial"/>
        </w:rPr>
        <w:t>2.</w:t>
      </w:r>
      <w:r w:rsidRPr="001C3547">
        <w:rPr>
          <w:rFonts w:cs="Arial"/>
        </w:rPr>
        <w:tab/>
      </w:r>
      <w:r>
        <w:rPr>
          <w:rFonts w:cs="Arial"/>
        </w:rPr>
        <w:t>Which of the following best describes your living arrangements</w:t>
      </w:r>
      <w:r w:rsidR="004E12D8">
        <w:rPr>
          <w:rFonts w:cs="Arial"/>
        </w:rPr>
        <w:t xml:space="preserve"> (tick </w:t>
      </w:r>
      <w:r w:rsidR="00225760">
        <w:rPr>
          <w:rFonts w:cs="Arial"/>
        </w:rPr>
        <w:t xml:space="preserve">one </w:t>
      </w:r>
      <w:r w:rsidR="004E12D8">
        <w:rPr>
          <w:rFonts w:cs="Arial"/>
        </w:rPr>
        <w:t xml:space="preserve">as </w:t>
      </w:r>
      <w:r w:rsidR="00225760">
        <w:rPr>
          <w:rFonts w:cs="Arial"/>
        </w:rPr>
        <w:tab/>
      </w:r>
      <w:r w:rsidR="004E12D8">
        <w:rPr>
          <w:rFonts w:cs="Arial"/>
        </w:rPr>
        <w:t>appropriate)</w:t>
      </w:r>
      <w:r>
        <w:rPr>
          <w:rFonts w:cs="Arial"/>
        </w:rPr>
        <w:t>?</w:t>
      </w:r>
    </w:p>
    <w:p w14:paraId="466AF4C9" w14:textId="242F54FC" w:rsidR="001C3547" w:rsidRDefault="001C3547" w:rsidP="001C3547">
      <w:pPr>
        <w:spacing w:before="240" w:after="120"/>
        <w:rPr>
          <w:rFonts w:cs="Arial"/>
        </w:rPr>
      </w:pPr>
      <w:r>
        <w:rPr>
          <w:rFonts w:cs="Arial"/>
        </w:rPr>
        <w:tab/>
      </w:r>
      <w:sdt>
        <w:sdtPr>
          <w:rPr>
            <w:rFonts w:cs="Arial"/>
          </w:rPr>
          <w:id w:val="-1386324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4E12D8">
        <w:rPr>
          <w:rFonts w:cs="Arial"/>
        </w:rPr>
        <w:t>Living in private rental</w:t>
      </w:r>
    </w:p>
    <w:p w14:paraId="103DADDF" w14:textId="71110AA6" w:rsidR="001C3547" w:rsidRDefault="001C3547" w:rsidP="001C3547">
      <w:pPr>
        <w:spacing w:before="240" w:after="120"/>
        <w:rPr>
          <w:rFonts w:cs="Arial"/>
        </w:rPr>
      </w:pPr>
      <w:r w:rsidRPr="005748B8">
        <w:rPr>
          <w:rFonts w:cs="Arial"/>
        </w:rPr>
        <w:tab/>
      </w:r>
      <w:sdt>
        <w:sdtPr>
          <w:rPr>
            <w:rFonts w:cs="Arial"/>
          </w:rPr>
          <w:id w:val="-241802666"/>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w:t>
      </w:r>
      <w:r w:rsidR="004E12D8">
        <w:rPr>
          <w:rFonts w:cs="Arial"/>
        </w:rPr>
        <w:t>Living in public housing</w:t>
      </w:r>
    </w:p>
    <w:p w14:paraId="2943F83D" w14:textId="4C838534" w:rsidR="001C3547" w:rsidRDefault="001C3547" w:rsidP="001C3547">
      <w:pPr>
        <w:spacing w:before="240" w:after="120"/>
        <w:rPr>
          <w:rFonts w:cs="Arial"/>
        </w:rPr>
      </w:pPr>
      <w:r>
        <w:rPr>
          <w:rFonts w:cs="Arial"/>
        </w:rPr>
        <w:tab/>
      </w:r>
      <w:sdt>
        <w:sdtPr>
          <w:rPr>
            <w:rFonts w:cs="Arial"/>
          </w:rPr>
          <w:id w:val="-533654495"/>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w:t>
      </w:r>
      <w:r w:rsidR="004E12D8">
        <w:rPr>
          <w:rFonts w:cs="Arial"/>
        </w:rPr>
        <w:t xml:space="preserve">Owner occupier </w:t>
      </w:r>
      <w:r>
        <w:rPr>
          <w:rFonts w:cs="Arial"/>
        </w:rPr>
        <w:tab/>
      </w:r>
    </w:p>
    <w:p w14:paraId="5D8965E4" w14:textId="697F2A31" w:rsidR="004E12D8" w:rsidRDefault="004E12D8" w:rsidP="004E12D8">
      <w:pPr>
        <w:spacing w:before="240" w:after="120"/>
        <w:rPr>
          <w:rFonts w:cs="Arial"/>
        </w:rPr>
      </w:pPr>
      <w:r>
        <w:rPr>
          <w:rFonts w:cs="Arial"/>
        </w:rPr>
        <w:tab/>
      </w:r>
      <w:sdt>
        <w:sdtPr>
          <w:rPr>
            <w:rFonts w:cs="Arial"/>
          </w:rPr>
          <w:id w:val="-805468727"/>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Living with friend or family</w:t>
      </w:r>
      <w:r>
        <w:rPr>
          <w:rFonts w:cs="Arial"/>
        </w:rPr>
        <w:tab/>
      </w:r>
    </w:p>
    <w:p w14:paraId="45515590" w14:textId="4FBE7A2E" w:rsidR="003937A8" w:rsidRDefault="004E12D8" w:rsidP="00225760">
      <w:pPr>
        <w:pBdr>
          <w:bottom w:val="single" w:sz="4" w:space="1" w:color="auto"/>
        </w:pBdr>
        <w:spacing w:before="240" w:after="120"/>
        <w:rPr>
          <w:rFonts w:cs="Arial"/>
        </w:rPr>
      </w:pPr>
      <w:r>
        <w:rPr>
          <w:rFonts w:cs="Arial"/>
        </w:rPr>
        <w:tab/>
      </w:r>
      <w:sdt>
        <w:sdtPr>
          <w:rPr>
            <w:rFonts w:cs="Arial"/>
          </w:rPr>
          <w:id w:val="-164861685"/>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Living in specialist housing</w:t>
      </w:r>
      <w:r>
        <w:rPr>
          <w:rFonts w:cs="Arial"/>
        </w:rPr>
        <w:tab/>
      </w:r>
    </w:p>
    <w:p w14:paraId="047C72A6" w14:textId="1C4C471E" w:rsidR="004E12D8" w:rsidRDefault="00225760" w:rsidP="00302840">
      <w:pPr>
        <w:spacing w:before="240" w:after="120"/>
        <w:rPr>
          <w:rFonts w:cs="Arial"/>
        </w:rPr>
      </w:pPr>
      <w:r>
        <w:rPr>
          <w:rFonts w:cs="Arial"/>
        </w:rPr>
        <w:t>3.</w:t>
      </w:r>
      <w:r>
        <w:rPr>
          <w:rFonts w:cs="Arial"/>
        </w:rPr>
        <w:tab/>
        <w:t xml:space="preserve">Are you living </w:t>
      </w:r>
      <w:r w:rsidR="00F72E3D">
        <w:rPr>
          <w:rFonts w:cs="Arial"/>
        </w:rPr>
        <w:t xml:space="preserve">with </w:t>
      </w:r>
      <w:r>
        <w:rPr>
          <w:rFonts w:cs="Arial"/>
        </w:rPr>
        <w:t>a disability</w:t>
      </w:r>
      <w:r w:rsidR="0075492F">
        <w:rPr>
          <w:rFonts w:cs="Arial"/>
        </w:rPr>
        <w:t xml:space="preserve"> (tick one as appropriate)</w:t>
      </w:r>
      <w:r>
        <w:rPr>
          <w:rFonts w:cs="Arial"/>
        </w:rPr>
        <w:t>?</w:t>
      </w:r>
    </w:p>
    <w:p w14:paraId="102B0D1A" w14:textId="77777777" w:rsidR="00225760" w:rsidRDefault="00225760" w:rsidP="00302840">
      <w:pPr>
        <w:spacing w:before="240" w:after="120"/>
        <w:rPr>
          <w:rFonts w:cs="Arial"/>
        </w:rPr>
      </w:pPr>
      <w:r>
        <w:rPr>
          <w:rFonts w:cs="Arial"/>
        </w:rPr>
        <w:tab/>
      </w:r>
      <w:sdt>
        <w:sdtPr>
          <w:rPr>
            <w:rFonts w:cs="Arial"/>
          </w:rPr>
          <w:id w:val="-1702231429"/>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Yes</w:t>
      </w:r>
    </w:p>
    <w:p w14:paraId="5D3A7261" w14:textId="77777777" w:rsidR="00225760" w:rsidRDefault="00225760" w:rsidP="00302840">
      <w:pPr>
        <w:spacing w:before="240" w:after="120"/>
        <w:rPr>
          <w:rFonts w:cs="Arial"/>
        </w:rPr>
      </w:pPr>
      <w:r>
        <w:rPr>
          <w:rFonts w:cs="Arial"/>
        </w:rPr>
        <w:tab/>
      </w:r>
      <w:sdt>
        <w:sdtPr>
          <w:rPr>
            <w:rFonts w:cs="Arial"/>
          </w:rPr>
          <w:id w:val="1373654005"/>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No</w:t>
      </w:r>
    </w:p>
    <w:p w14:paraId="4464FC4A" w14:textId="73E79D8D" w:rsidR="00225760" w:rsidRPr="001C3547" w:rsidRDefault="00225760" w:rsidP="00225760">
      <w:pPr>
        <w:pBdr>
          <w:bottom w:val="single" w:sz="4" w:space="1" w:color="auto"/>
        </w:pBdr>
        <w:spacing w:before="240" w:after="120"/>
        <w:rPr>
          <w:rFonts w:cs="Arial"/>
        </w:rPr>
      </w:pPr>
      <w:r w:rsidRPr="00225760">
        <w:rPr>
          <w:rFonts w:cs="Arial"/>
        </w:rPr>
        <w:t xml:space="preserve"> </w:t>
      </w:r>
      <w:r w:rsidRPr="00225760">
        <w:rPr>
          <w:rFonts w:cs="Arial"/>
        </w:rPr>
        <w:tab/>
      </w:r>
      <w:sdt>
        <w:sdtPr>
          <w:rPr>
            <w:rFonts w:cs="Arial"/>
          </w:rPr>
          <w:id w:val="-1411837914"/>
          <w14:checkbox>
            <w14:checked w14:val="0"/>
            <w14:checkedState w14:val="2612" w14:font="MS Gothic"/>
            <w14:uncheckedState w14:val="2610" w14:font="MS Gothic"/>
          </w14:checkbox>
        </w:sdtPr>
        <w:sdtEndPr/>
        <w:sdtContent>
          <w:r w:rsidRPr="00225760">
            <w:rPr>
              <w:rFonts w:ascii="MS Gothic" w:eastAsia="MS Gothic" w:hAnsi="MS Gothic" w:cs="Arial" w:hint="eastAsia"/>
            </w:rPr>
            <w:t>☐</w:t>
          </w:r>
        </w:sdtContent>
      </w:sdt>
      <w:r w:rsidRPr="00225760">
        <w:rPr>
          <w:rFonts w:cs="Arial"/>
        </w:rPr>
        <w:t xml:space="preserve"> Prefer not to say</w:t>
      </w:r>
      <w:r w:rsidRPr="00225760">
        <w:rPr>
          <w:rFonts w:cs="Arial"/>
        </w:rPr>
        <w:tab/>
      </w:r>
      <w:r>
        <w:rPr>
          <w:rFonts w:cs="Arial"/>
        </w:rPr>
        <w:tab/>
      </w:r>
      <w:r>
        <w:rPr>
          <w:rFonts w:cs="Arial"/>
        </w:rPr>
        <w:tab/>
      </w:r>
    </w:p>
    <w:p w14:paraId="3D3F9B74" w14:textId="7D915FC8" w:rsidR="00225760" w:rsidRDefault="00225760" w:rsidP="00302840">
      <w:pPr>
        <w:spacing w:before="240" w:after="120"/>
        <w:rPr>
          <w:rFonts w:cs="Arial"/>
        </w:rPr>
      </w:pPr>
      <w:r>
        <w:rPr>
          <w:rFonts w:cs="Arial"/>
        </w:rPr>
        <w:t>4.</w:t>
      </w:r>
      <w:r>
        <w:rPr>
          <w:rFonts w:cs="Arial"/>
        </w:rPr>
        <w:tab/>
      </w:r>
      <w:r w:rsidRPr="00887A08">
        <w:rPr>
          <w:rFonts w:cs="Arial"/>
        </w:rPr>
        <w:t>Are you</w:t>
      </w:r>
      <w:r>
        <w:rPr>
          <w:rFonts w:cs="Arial"/>
        </w:rPr>
        <w:t xml:space="preserve"> a carer of someone </w:t>
      </w:r>
      <w:r w:rsidRPr="00887A08">
        <w:rPr>
          <w:rFonts w:cs="Arial"/>
        </w:rPr>
        <w:t>living with disability</w:t>
      </w:r>
      <w:r w:rsidR="0075492F">
        <w:rPr>
          <w:rFonts w:cs="Arial"/>
        </w:rPr>
        <w:t xml:space="preserve"> (tick one as appropriate)</w:t>
      </w:r>
      <w:r w:rsidRPr="00887A08">
        <w:rPr>
          <w:rFonts w:cs="Arial"/>
        </w:rPr>
        <w:t>?</w:t>
      </w:r>
    </w:p>
    <w:p w14:paraId="41C1C2A8" w14:textId="77777777" w:rsidR="00225760" w:rsidRDefault="00225760" w:rsidP="00225760">
      <w:pPr>
        <w:spacing w:before="240" w:after="120"/>
        <w:rPr>
          <w:rFonts w:cs="Arial"/>
        </w:rPr>
      </w:pPr>
      <w:r>
        <w:rPr>
          <w:rFonts w:cs="Arial"/>
        </w:rPr>
        <w:tab/>
      </w:r>
      <w:sdt>
        <w:sdtPr>
          <w:rPr>
            <w:rFonts w:cs="Arial"/>
          </w:rPr>
          <w:id w:val="-1095933440"/>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Yes</w:t>
      </w:r>
    </w:p>
    <w:p w14:paraId="41558E48" w14:textId="77777777" w:rsidR="00225760" w:rsidRDefault="00225760" w:rsidP="00225760">
      <w:pPr>
        <w:spacing w:before="240" w:after="120"/>
        <w:rPr>
          <w:rFonts w:cs="Arial"/>
        </w:rPr>
      </w:pPr>
      <w:r>
        <w:rPr>
          <w:rFonts w:cs="Arial"/>
        </w:rPr>
        <w:tab/>
      </w:r>
      <w:sdt>
        <w:sdtPr>
          <w:rPr>
            <w:rFonts w:cs="Arial"/>
          </w:rPr>
          <w:id w:val="-132026229"/>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No</w:t>
      </w:r>
    </w:p>
    <w:p w14:paraId="57948849" w14:textId="0A40458A" w:rsidR="00225760" w:rsidRDefault="00225760" w:rsidP="00225760">
      <w:pPr>
        <w:pBdr>
          <w:bottom w:val="single" w:sz="4" w:space="1" w:color="auto"/>
        </w:pBdr>
        <w:spacing w:before="240" w:after="120"/>
        <w:rPr>
          <w:rFonts w:cs="Arial"/>
        </w:rPr>
      </w:pPr>
      <w:r>
        <w:rPr>
          <w:rFonts w:cs="Arial"/>
        </w:rPr>
        <w:t xml:space="preserve"> </w:t>
      </w:r>
      <w:r>
        <w:rPr>
          <w:rFonts w:cs="Arial"/>
        </w:rPr>
        <w:tab/>
      </w:r>
      <w:sdt>
        <w:sdtPr>
          <w:rPr>
            <w:rFonts w:cs="Arial"/>
          </w:rPr>
          <w:id w:val="-506899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Prefer not to say</w:t>
      </w:r>
      <w:r>
        <w:rPr>
          <w:rFonts w:cs="Arial"/>
        </w:rPr>
        <w:tab/>
      </w:r>
    </w:p>
    <w:p w14:paraId="6A08F3D9" w14:textId="4E8DDD67" w:rsidR="00225760" w:rsidRDefault="0075492F" w:rsidP="00302840">
      <w:pPr>
        <w:spacing w:before="240" w:after="120"/>
        <w:rPr>
          <w:rFonts w:cs="Arial"/>
        </w:rPr>
      </w:pPr>
      <w:r>
        <w:rPr>
          <w:rFonts w:cs="Arial"/>
        </w:rPr>
        <w:t>5.</w:t>
      </w:r>
      <w:r>
        <w:rPr>
          <w:rFonts w:cs="Arial"/>
        </w:rPr>
        <w:tab/>
        <w:t>If you answered ‘Yes’ to questions 3 or 4, d</w:t>
      </w:r>
      <w:r w:rsidRPr="0075492F">
        <w:rPr>
          <w:rFonts w:cs="Arial"/>
        </w:rPr>
        <w:t xml:space="preserve">oes your disability or that of the person you </w:t>
      </w:r>
      <w:r>
        <w:rPr>
          <w:rFonts w:cs="Arial"/>
        </w:rPr>
        <w:tab/>
      </w:r>
      <w:r w:rsidRPr="0075492F">
        <w:rPr>
          <w:rFonts w:cs="Arial"/>
        </w:rPr>
        <w:t>care for require the home to have accessibility features</w:t>
      </w:r>
      <w:r>
        <w:rPr>
          <w:rFonts w:cs="Arial"/>
        </w:rPr>
        <w:t xml:space="preserve"> (tick one as appropriate)</w:t>
      </w:r>
      <w:r w:rsidRPr="0075492F">
        <w:rPr>
          <w:rFonts w:cs="Arial"/>
        </w:rPr>
        <w:t>?</w:t>
      </w:r>
    </w:p>
    <w:p w14:paraId="05A4D285" w14:textId="77777777" w:rsidR="0075492F" w:rsidRDefault="0075492F" w:rsidP="0075492F">
      <w:pPr>
        <w:spacing w:before="240" w:after="120"/>
        <w:rPr>
          <w:rFonts w:cs="Arial"/>
        </w:rPr>
      </w:pPr>
      <w:r>
        <w:rPr>
          <w:rFonts w:cs="Arial"/>
        </w:rPr>
        <w:tab/>
      </w:r>
      <w:sdt>
        <w:sdtPr>
          <w:rPr>
            <w:rFonts w:cs="Arial"/>
          </w:rPr>
          <w:id w:val="1520425835"/>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Yes</w:t>
      </w:r>
    </w:p>
    <w:p w14:paraId="1F2CF72F" w14:textId="77777777" w:rsidR="0075492F" w:rsidRDefault="0075492F" w:rsidP="0075492F">
      <w:pPr>
        <w:spacing w:before="240" w:after="120"/>
        <w:rPr>
          <w:rFonts w:cs="Arial"/>
        </w:rPr>
      </w:pPr>
      <w:r>
        <w:rPr>
          <w:rFonts w:cs="Arial"/>
        </w:rPr>
        <w:tab/>
      </w:r>
      <w:sdt>
        <w:sdtPr>
          <w:rPr>
            <w:rFonts w:cs="Arial"/>
          </w:rPr>
          <w:id w:val="199750552"/>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No</w:t>
      </w:r>
    </w:p>
    <w:p w14:paraId="1B1388C3" w14:textId="77777777" w:rsidR="0075492F" w:rsidRDefault="0075492F" w:rsidP="0075492F">
      <w:pPr>
        <w:pBdr>
          <w:bottom w:val="single" w:sz="4" w:space="1" w:color="auto"/>
        </w:pBdr>
        <w:spacing w:before="240" w:after="120"/>
        <w:rPr>
          <w:rFonts w:cs="Arial"/>
        </w:rPr>
      </w:pPr>
      <w:r>
        <w:rPr>
          <w:rFonts w:cs="Arial"/>
        </w:rPr>
        <w:t xml:space="preserve"> </w:t>
      </w:r>
      <w:r>
        <w:rPr>
          <w:rFonts w:cs="Arial"/>
        </w:rPr>
        <w:tab/>
      </w:r>
      <w:sdt>
        <w:sdtPr>
          <w:rPr>
            <w:rFonts w:cs="Arial"/>
          </w:rPr>
          <w:id w:val="18422740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Prefer not to say</w:t>
      </w:r>
      <w:r>
        <w:rPr>
          <w:rFonts w:cs="Arial"/>
        </w:rPr>
        <w:tab/>
      </w:r>
    </w:p>
    <w:p w14:paraId="1682CE0C" w14:textId="75E3C6F2" w:rsidR="0075492F" w:rsidRDefault="0075492F" w:rsidP="0075492F">
      <w:pPr>
        <w:spacing w:before="240" w:after="120"/>
        <w:rPr>
          <w:rFonts w:cs="Arial"/>
        </w:rPr>
      </w:pPr>
      <w:r>
        <w:rPr>
          <w:rFonts w:cs="Arial"/>
        </w:rPr>
        <w:t>6.</w:t>
      </w:r>
      <w:r>
        <w:rPr>
          <w:rFonts w:cs="Arial"/>
        </w:rPr>
        <w:tab/>
        <w:t xml:space="preserve">If you answered ‘Yes’ to question 5, what features were required (tick each that is </w:t>
      </w:r>
      <w:r>
        <w:rPr>
          <w:rFonts w:cs="Arial"/>
        </w:rPr>
        <w:tab/>
        <w:t>applicable)?</w:t>
      </w:r>
    </w:p>
    <w:p w14:paraId="54CBAA85" w14:textId="65714794" w:rsidR="0075492F" w:rsidRDefault="0075492F" w:rsidP="0075492F">
      <w:pPr>
        <w:spacing w:before="240" w:after="120"/>
        <w:rPr>
          <w:rFonts w:cs="Arial"/>
        </w:rPr>
      </w:pPr>
      <w:r>
        <w:rPr>
          <w:rFonts w:cs="Arial"/>
        </w:rPr>
        <w:tab/>
      </w:r>
      <w:sdt>
        <w:sdtPr>
          <w:rPr>
            <w:rFonts w:cs="Arial"/>
          </w:rPr>
          <w:id w:val="1021361731"/>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w:t>
      </w:r>
      <w:r w:rsidRPr="0075492F">
        <w:rPr>
          <w:rFonts w:cs="Arial"/>
        </w:rPr>
        <w:t>A ramp or safe pathway to the front door or other entrance</w:t>
      </w:r>
    </w:p>
    <w:p w14:paraId="2459A535" w14:textId="11DA3457" w:rsidR="0075492F" w:rsidRDefault="0075492F" w:rsidP="0075492F">
      <w:pPr>
        <w:spacing w:before="240" w:after="120"/>
        <w:rPr>
          <w:rFonts w:cs="Arial"/>
        </w:rPr>
      </w:pPr>
      <w:r>
        <w:rPr>
          <w:rFonts w:cs="Arial"/>
        </w:rPr>
        <w:tab/>
      </w:r>
      <w:sdt>
        <w:sdtPr>
          <w:rPr>
            <w:rFonts w:cs="Arial"/>
          </w:rPr>
          <w:id w:val="-2129084573"/>
          <w14:checkbox>
            <w14:checked w14:val="0"/>
            <w14:checkedState w14:val="2612" w14:font="MS Gothic"/>
            <w14:uncheckedState w14:val="2610" w14:font="MS Gothic"/>
          </w14:checkbox>
        </w:sdtPr>
        <w:sdtEndPr/>
        <w:sdtContent>
          <w:r w:rsidRPr="005748B8">
            <w:rPr>
              <w:rFonts w:ascii="MS Gothic" w:eastAsia="MS Gothic" w:hAnsi="MS Gothic" w:cs="Arial" w:hint="eastAsia"/>
            </w:rPr>
            <w:t>☐</w:t>
          </w:r>
        </w:sdtContent>
      </w:sdt>
      <w:r>
        <w:rPr>
          <w:rFonts w:cs="Arial"/>
        </w:rPr>
        <w:t xml:space="preserve"> </w:t>
      </w:r>
      <w:r w:rsidRPr="0075492F">
        <w:rPr>
          <w:rFonts w:cs="Arial"/>
        </w:rPr>
        <w:t>A step-free entrance to the home</w:t>
      </w:r>
    </w:p>
    <w:p w14:paraId="036DE7E0" w14:textId="44520627" w:rsidR="0075492F" w:rsidRDefault="001A278D" w:rsidP="0075492F">
      <w:pPr>
        <w:spacing w:before="240" w:after="120"/>
        <w:rPr>
          <w:rFonts w:cs="Arial"/>
        </w:rPr>
      </w:pPr>
      <w:r>
        <w:rPr>
          <w:rFonts w:cs="Arial"/>
        </w:rPr>
        <w:tab/>
      </w:r>
      <w:sdt>
        <w:sdtPr>
          <w:rPr>
            <w:rFonts w:cs="Arial"/>
          </w:rPr>
          <w:id w:val="-486166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Wider internal doors and corridors</w:t>
      </w:r>
    </w:p>
    <w:p w14:paraId="56C291C9" w14:textId="3B309698" w:rsidR="001A278D" w:rsidRDefault="001A278D" w:rsidP="001A278D">
      <w:pPr>
        <w:spacing w:before="240" w:after="120"/>
        <w:rPr>
          <w:rFonts w:cs="Arial"/>
        </w:rPr>
      </w:pPr>
      <w:r>
        <w:rPr>
          <w:rFonts w:cs="Arial"/>
        </w:rPr>
        <w:tab/>
      </w:r>
      <w:sdt>
        <w:sdtPr>
          <w:rPr>
            <w:rFonts w:cs="Arial"/>
          </w:rPr>
          <w:id w:val="1016580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An accessible toilet or bathroom on the ground floor or entrance level</w:t>
      </w:r>
    </w:p>
    <w:p w14:paraId="55705B79" w14:textId="7AD39089" w:rsidR="001A278D" w:rsidRDefault="001A278D" w:rsidP="0075492F">
      <w:pPr>
        <w:spacing w:before="240" w:after="120"/>
        <w:rPr>
          <w:rFonts w:cs="Arial"/>
        </w:rPr>
      </w:pPr>
      <w:r>
        <w:rPr>
          <w:rFonts w:cs="Arial"/>
        </w:rPr>
        <w:tab/>
      </w:r>
      <w:sdt>
        <w:sdtPr>
          <w:rPr>
            <w:rFonts w:cs="Arial"/>
          </w:rPr>
          <w:id w:val="-6876811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A bathroom and shower that is easier to access</w:t>
      </w:r>
    </w:p>
    <w:p w14:paraId="4D638BF5" w14:textId="4E054DEE" w:rsidR="001A278D" w:rsidRDefault="001A278D" w:rsidP="001A278D">
      <w:pPr>
        <w:spacing w:before="240" w:after="120"/>
        <w:rPr>
          <w:rFonts w:cs="Arial"/>
        </w:rPr>
      </w:pPr>
      <w:r>
        <w:rPr>
          <w:rFonts w:cs="Arial"/>
        </w:rPr>
        <w:tab/>
      </w:r>
      <w:sdt>
        <w:sdtPr>
          <w:rPr>
            <w:rFonts w:cs="Arial"/>
          </w:rPr>
          <w:id w:val="-10593279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Grabrails installed in bathroom and toilet</w:t>
      </w:r>
    </w:p>
    <w:p w14:paraId="217E4306" w14:textId="5248C48C" w:rsidR="001A278D" w:rsidRDefault="001A278D" w:rsidP="001A278D">
      <w:pPr>
        <w:spacing w:before="240" w:after="120"/>
        <w:rPr>
          <w:rFonts w:cs="Arial"/>
        </w:rPr>
      </w:pPr>
      <w:r>
        <w:rPr>
          <w:rFonts w:cs="Arial"/>
        </w:rPr>
        <w:tab/>
      </w:r>
      <w:sdt>
        <w:sdtPr>
          <w:rPr>
            <w:rFonts w:cs="Arial"/>
          </w:rPr>
          <w:id w:val="-415939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 xml:space="preserve">Safer </w:t>
      </w:r>
      <w:r>
        <w:rPr>
          <w:rFonts w:cs="Arial"/>
        </w:rPr>
        <w:t xml:space="preserve">internal </w:t>
      </w:r>
      <w:r w:rsidRPr="001A278D">
        <w:rPr>
          <w:rFonts w:cs="Arial"/>
        </w:rPr>
        <w:t>stairways and paths</w:t>
      </w:r>
    </w:p>
    <w:p w14:paraId="4B3A01FF" w14:textId="53FAE72F" w:rsidR="001A278D" w:rsidRDefault="001A278D" w:rsidP="001A278D">
      <w:pPr>
        <w:spacing w:before="240" w:after="120"/>
        <w:rPr>
          <w:rFonts w:cs="Arial"/>
        </w:rPr>
      </w:pPr>
      <w:r>
        <w:rPr>
          <w:rFonts w:cs="Arial"/>
        </w:rPr>
        <w:tab/>
      </w:r>
      <w:sdt>
        <w:sdtPr>
          <w:rPr>
            <w:rFonts w:cs="Arial"/>
          </w:rPr>
          <w:id w:val="17566219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 xml:space="preserve">More space in and around </w:t>
      </w:r>
      <w:r>
        <w:rPr>
          <w:rFonts w:cs="Arial"/>
        </w:rPr>
        <w:t xml:space="preserve">the </w:t>
      </w:r>
      <w:r w:rsidRPr="001A278D">
        <w:rPr>
          <w:rFonts w:cs="Arial"/>
        </w:rPr>
        <w:t>kitchen</w:t>
      </w:r>
    </w:p>
    <w:p w14:paraId="41676756" w14:textId="5B5F6554" w:rsidR="001A278D" w:rsidRDefault="001A278D" w:rsidP="001A278D">
      <w:pPr>
        <w:spacing w:before="240" w:after="120"/>
        <w:rPr>
          <w:rFonts w:cs="Arial"/>
        </w:rPr>
      </w:pPr>
      <w:r>
        <w:rPr>
          <w:rFonts w:cs="Arial"/>
        </w:rPr>
        <w:tab/>
      </w:r>
      <w:sdt>
        <w:sdtPr>
          <w:rPr>
            <w:rFonts w:cs="Arial"/>
          </w:rPr>
          <w:id w:val="1827168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1A278D">
        <w:rPr>
          <w:rFonts w:cs="Arial"/>
        </w:rPr>
        <w:t xml:space="preserve">More space in and around </w:t>
      </w:r>
      <w:r>
        <w:rPr>
          <w:rFonts w:cs="Arial"/>
        </w:rPr>
        <w:t xml:space="preserve">the </w:t>
      </w:r>
      <w:r w:rsidRPr="001A278D">
        <w:rPr>
          <w:rFonts w:cs="Arial"/>
        </w:rPr>
        <w:t>laundry</w:t>
      </w:r>
    </w:p>
    <w:p w14:paraId="18EE55BF" w14:textId="77777777" w:rsidR="003937A8" w:rsidRDefault="00B8245A" w:rsidP="00B8245A">
      <w:pPr>
        <w:spacing w:before="240" w:after="120"/>
        <w:rPr>
          <w:rFonts w:cs="Arial"/>
        </w:rPr>
      </w:pPr>
      <w:r>
        <w:rPr>
          <w:rFonts w:cs="Arial"/>
        </w:rPr>
        <w:tab/>
      </w:r>
      <w:sdt>
        <w:sdtPr>
          <w:rPr>
            <w:rFonts w:cs="Arial"/>
          </w:rPr>
          <w:id w:val="1017815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B8245A">
        <w:rPr>
          <w:rFonts w:cs="Arial"/>
        </w:rPr>
        <w:t xml:space="preserve">Bedroom on the </w:t>
      </w:r>
      <w:r w:rsidR="003937A8">
        <w:rPr>
          <w:rFonts w:cs="Arial"/>
        </w:rPr>
        <w:t>ground (or entry) level</w:t>
      </w:r>
    </w:p>
    <w:p w14:paraId="139437B3" w14:textId="0A5C31EB" w:rsidR="00B8245A" w:rsidRDefault="00B8245A" w:rsidP="00B8245A">
      <w:pPr>
        <w:spacing w:before="240" w:after="120"/>
        <w:rPr>
          <w:rFonts w:cs="Arial"/>
        </w:rPr>
      </w:pPr>
      <w:r>
        <w:rPr>
          <w:rFonts w:cs="Arial"/>
        </w:rPr>
        <w:tab/>
      </w:r>
      <w:sdt>
        <w:sdtPr>
          <w:rPr>
            <w:rFonts w:cs="Arial"/>
          </w:rPr>
          <w:id w:val="18270096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B8245A">
        <w:rPr>
          <w:rFonts w:cs="Arial"/>
        </w:rPr>
        <w:t>Light switches installed at heights that are easy to reach</w:t>
      </w:r>
    </w:p>
    <w:p w14:paraId="1D08F7D6" w14:textId="5208B133" w:rsidR="00B8245A" w:rsidRDefault="00B8245A" w:rsidP="00B8245A">
      <w:pPr>
        <w:spacing w:before="240" w:after="120"/>
        <w:rPr>
          <w:rFonts w:cs="Arial"/>
        </w:rPr>
      </w:pPr>
      <w:r>
        <w:rPr>
          <w:rFonts w:cs="Arial"/>
        </w:rPr>
        <w:tab/>
      </w:r>
      <w:sdt>
        <w:sdtPr>
          <w:rPr>
            <w:rFonts w:cs="Arial"/>
          </w:rPr>
          <w:id w:val="1910102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B8245A">
        <w:rPr>
          <w:rFonts w:cs="Arial"/>
        </w:rPr>
        <w:t>Doors that are easier to</w:t>
      </w:r>
      <w:r>
        <w:rPr>
          <w:rFonts w:cs="Arial"/>
        </w:rPr>
        <w:t xml:space="preserve"> open and close</w:t>
      </w:r>
    </w:p>
    <w:p w14:paraId="45FE872F" w14:textId="14D9C6DF" w:rsidR="00B8245A" w:rsidRDefault="00B8245A" w:rsidP="007254C8">
      <w:pPr>
        <w:pBdr>
          <w:bottom w:val="single" w:sz="4" w:space="1" w:color="auto"/>
        </w:pBdr>
        <w:spacing w:before="240" w:after="120"/>
        <w:rPr>
          <w:rFonts w:cs="Arial"/>
        </w:rPr>
      </w:pPr>
      <w:r>
        <w:rPr>
          <w:rFonts w:cs="Arial"/>
        </w:rPr>
        <w:tab/>
      </w:r>
      <w:sdt>
        <w:sdtPr>
          <w:rPr>
            <w:rFonts w:cs="Arial"/>
          </w:rPr>
          <w:id w:val="6321346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Other (please specify)</w:t>
      </w:r>
      <w:r w:rsidR="007254C8" w:rsidRPr="007254C8">
        <w:rPr>
          <w:rFonts w:cs="Arial"/>
        </w:rPr>
        <w:t xml:space="preserve"> </w:t>
      </w:r>
      <w:sdt>
        <w:sdtPr>
          <w:rPr>
            <w:rFonts w:cs="Arial"/>
          </w:rPr>
          <w:id w:val="779989570"/>
          <w:placeholder>
            <w:docPart w:val="452663A5FA5F472283889B58343D13E5"/>
          </w:placeholder>
          <w:showingPlcHdr/>
          <w:text/>
        </w:sdtPr>
        <w:sdtEndPr/>
        <w:sdtContent>
          <w:r w:rsidR="007254C8" w:rsidRPr="004D55AA">
            <w:rPr>
              <w:rStyle w:val="PlaceholderText"/>
              <w:rFonts w:cs="Arial"/>
              <w:i/>
            </w:rPr>
            <w:t>Click here to enter text.</w:t>
          </w:r>
        </w:sdtContent>
      </w:sdt>
    </w:p>
    <w:p w14:paraId="76542AB9" w14:textId="4DAB5C56" w:rsidR="007254C8" w:rsidRDefault="007254C8" w:rsidP="00302840">
      <w:pPr>
        <w:spacing w:before="240" w:after="120"/>
        <w:rPr>
          <w:rFonts w:cs="Arial"/>
        </w:rPr>
      </w:pPr>
      <w:r>
        <w:rPr>
          <w:rFonts w:cs="Arial"/>
        </w:rPr>
        <w:t>7.</w:t>
      </w:r>
      <w:r>
        <w:rPr>
          <w:rFonts w:cs="Arial"/>
        </w:rPr>
        <w:tab/>
      </w:r>
      <w:r w:rsidR="00C3300A">
        <w:rPr>
          <w:rFonts w:cs="Arial"/>
        </w:rPr>
        <w:t>If you answered ‘Yes’ to question 5, w</w:t>
      </w:r>
      <w:r w:rsidR="00C3300A" w:rsidRPr="00C3300A">
        <w:rPr>
          <w:rFonts w:cs="Arial"/>
        </w:rPr>
        <w:t>hen were the accessibility features included</w:t>
      </w:r>
      <w:r w:rsidR="0004419B">
        <w:rPr>
          <w:rFonts w:cs="Arial"/>
        </w:rPr>
        <w:t xml:space="preserve"> (tick </w:t>
      </w:r>
      <w:r w:rsidR="0004419B">
        <w:rPr>
          <w:rFonts w:cs="Arial"/>
        </w:rPr>
        <w:tab/>
        <w:t>one as appropriate)</w:t>
      </w:r>
      <w:r w:rsidR="00C3300A" w:rsidRPr="00C3300A">
        <w:rPr>
          <w:rFonts w:cs="Arial"/>
        </w:rPr>
        <w:t>?</w:t>
      </w:r>
    </w:p>
    <w:p w14:paraId="0D53EEA6" w14:textId="26AD24D0" w:rsidR="00C3300A" w:rsidRDefault="00C3300A" w:rsidP="00C3300A">
      <w:pPr>
        <w:spacing w:before="240" w:after="120"/>
        <w:rPr>
          <w:rFonts w:cs="Arial"/>
        </w:rPr>
      </w:pPr>
      <w:r>
        <w:rPr>
          <w:rFonts w:cs="Arial"/>
        </w:rPr>
        <w:tab/>
      </w:r>
      <w:sdt>
        <w:sdtPr>
          <w:rPr>
            <w:rFonts w:cs="Arial"/>
          </w:rPr>
          <w:id w:val="1290623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003937A8">
        <w:rPr>
          <w:rFonts w:cs="Arial"/>
        </w:rPr>
        <w:t>During construction of the home</w:t>
      </w:r>
    </w:p>
    <w:p w14:paraId="08AAA714" w14:textId="5A3FAD3C" w:rsidR="00C3300A" w:rsidRDefault="00C3300A" w:rsidP="00C3300A">
      <w:pPr>
        <w:spacing w:before="240" w:after="120"/>
        <w:rPr>
          <w:rFonts w:cs="Arial"/>
        </w:rPr>
      </w:pPr>
      <w:r>
        <w:rPr>
          <w:rFonts w:cs="Arial"/>
        </w:rPr>
        <w:tab/>
      </w:r>
      <w:sdt>
        <w:sdtPr>
          <w:rPr>
            <w:rFonts w:cs="Arial"/>
          </w:rPr>
          <w:id w:val="-1635861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937A8">
        <w:rPr>
          <w:rFonts w:cs="Arial"/>
        </w:rPr>
        <w:t xml:space="preserve"> Added after the home was built</w:t>
      </w:r>
    </w:p>
    <w:p w14:paraId="4607BEC9" w14:textId="2426295D" w:rsidR="00C3300A" w:rsidRDefault="00C3300A" w:rsidP="00C3300A">
      <w:pPr>
        <w:spacing w:before="240" w:after="120"/>
        <w:rPr>
          <w:rFonts w:cs="Arial"/>
        </w:rPr>
      </w:pPr>
      <w:r w:rsidRPr="00C3300A">
        <w:rPr>
          <w:rFonts w:cs="Arial"/>
        </w:rPr>
        <w:tab/>
      </w:r>
      <w:sdt>
        <w:sdtPr>
          <w:rPr>
            <w:rFonts w:cs="Arial"/>
          </w:rPr>
          <w:id w:val="2016336831"/>
          <w14:checkbox>
            <w14:checked w14:val="0"/>
            <w14:checkedState w14:val="2612" w14:font="MS Gothic"/>
            <w14:uncheckedState w14:val="2610" w14:font="MS Gothic"/>
          </w14:checkbox>
        </w:sdtPr>
        <w:sdtEndPr/>
        <w:sdtContent>
          <w:r w:rsidRPr="00C3300A">
            <w:rPr>
              <w:rFonts w:ascii="Segoe UI Symbol" w:hAnsi="Segoe UI Symbol" w:cs="Segoe UI Symbol"/>
            </w:rPr>
            <w:t>☐</w:t>
          </w:r>
        </w:sdtContent>
      </w:sdt>
      <w:r w:rsidRPr="00C3300A">
        <w:rPr>
          <w:rFonts w:cs="Arial"/>
        </w:rPr>
        <w:t xml:space="preserve"> </w:t>
      </w:r>
      <w:r>
        <w:rPr>
          <w:rFonts w:cs="Arial"/>
        </w:rPr>
        <w:t>Some features were original and some were added later.</w:t>
      </w:r>
    </w:p>
    <w:p w14:paraId="4851D212" w14:textId="5A70A78B" w:rsidR="00C3300A" w:rsidRDefault="00C3300A" w:rsidP="00C3300A">
      <w:pPr>
        <w:spacing w:before="240" w:after="120"/>
        <w:rPr>
          <w:rFonts w:cs="Arial"/>
        </w:rPr>
      </w:pPr>
      <w:r>
        <w:rPr>
          <w:rFonts w:cs="Arial"/>
        </w:rPr>
        <w:tab/>
      </w:r>
      <w:sdt>
        <w:sdtPr>
          <w:rPr>
            <w:rFonts w:cs="Arial"/>
          </w:rPr>
          <w:id w:val="6008512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Will be added in the future</w:t>
      </w:r>
    </w:p>
    <w:p w14:paraId="5832884A" w14:textId="7429F83C" w:rsidR="00C3300A" w:rsidRDefault="00C3300A" w:rsidP="00C3300A">
      <w:pPr>
        <w:pBdr>
          <w:bottom w:val="single" w:sz="4" w:space="1" w:color="auto"/>
        </w:pBdr>
        <w:spacing w:before="240" w:after="120"/>
        <w:rPr>
          <w:rFonts w:cs="Arial"/>
        </w:rPr>
      </w:pPr>
      <w:r>
        <w:rPr>
          <w:rFonts w:cs="Arial"/>
        </w:rPr>
        <w:tab/>
      </w:r>
      <w:sdt>
        <w:sdtPr>
          <w:rPr>
            <w:rFonts w:cs="Arial"/>
          </w:rPr>
          <w:id w:val="2099436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Unable to add these features (please specify why) </w:t>
      </w:r>
      <w:sdt>
        <w:sdtPr>
          <w:rPr>
            <w:rFonts w:cs="Arial"/>
          </w:rPr>
          <w:id w:val="518893438"/>
          <w:placeholder>
            <w:docPart w:val="90DE4EE086814E3992099CE9D2D62ED0"/>
          </w:placeholder>
          <w:showingPlcHdr/>
          <w:text/>
        </w:sdtPr>
        <w:sdtEndPr/>
        <w:sdtContent>
          <w:r w:rsidRPr="004D55AA">
            <w:rPr>
              <w:rStyle w:val="PlaceholderText"/>
              <w:rFonts w:cs="Arial"/>
              <w:i/>
            </w:rPr>
            <w:t>Click here to enter text.</w:t>
          </w:r>
        </w:sdtContent>
      </w:sdt>
    </w:p>
    <w:p w14:paraId="4265E399" w14:textId="00618E36" w:rsidR="00C3300A" w:rsidRPr="00C3300A" w:rsidRDefault="00C3300A" w:rsidP="00302840">
      <w:pPr>
        <w:spacing w:before="240" w:after="120"/>
        <w:rPr>
          <w:rFonts w:cs="Arial"/>
          <w:i/>
        </w:rPr>
      </w:pPr>
      <w:r w:rsidRPr="00C3300A">
        <w:rPr>
          <w:rFonts w:cs="Arial"/>
          <w:i/>
        </w:rPr>
        <w:t>Note: only answer questions 8 to 10 if you are responding on behalf of a business or organisation.</w:t>
      </w:r>
    </w:p>
    <w:p w14:paraId="73C0C4B6" w14:textId="4390EC2D" w:rsidR="00C3300A" w:rsidRDefault="00C3300A" w:rsidP="00302840">
      <w:pPr>
        <w:spacing w:before="240" w:after="120"/>
        <w:rPr>
          <w:rFonts w:cs="Arial"/>
        </w:rPr>
      </w:pPr>
      <w:r>
        <w:rPr>
          <w:rFonts w:cs="Arial"/>
        </w:rPr>
        <w:t>8.</w:t>
      </w:r>
      <w:r>
        <w:rPr>
          <w:rFonts w:cs="Arial"/>
        </w:rPr>
        <w:tab/>
      </w:r>
      <w:r w:rsidR="0004419B" w:rsidRPr="00887A08">
        <w:rPr>
          <w:rFonts w:cs="Arial"/>
        </w:rPr>
        <w:t>Which of the following best describes your organisation or business</w:t>
      </w:r>
      <w:r w:rsidR="0004419B">
        <w:rPr>
          <w:rFonts w:cs="Arial"/>
        </w:rPr>
        <w:t xml:space="preserve"> (tick one as </w:t>
      </w:r>
      <w:r w:rsidR="0004419B">
        <w:rPr>
          <w:rFonts w:cs="Arial"/>
        </w:rPr>
        <w:tab/>
        <w:t>appropriate)</w:t>
      </w:r>
      <w:r w:rsidR="0004419B" w:rsidRPr="00887A08">
        <w:rPr>
          <w:rFonts w:cs="Arial"/>
        </w:rPr>
        <w:t>?</w:t>
      </w:r>
    </w:p>
    <w:p w14:paraId="296CBE4C" w14:textId="2F2DCE1A" w:rsidR="0004419B" w:rsidRDefault="0004419B" w:rsidP="0004419B">
      <w:pPr>
        <w:spacing w:before="240" w:after="120"/>
        <w:rPr>
          <w:rFonts w:cs="Arial"/>
        </w:rPr>
      </w:pPr>
      <w:r>
        <w:rPr>
          <w:rFonts w:cs="Arial"/>
        </w:rPr>
        <w:tab/>
      </w:r>
      <w:sdt>
        <w:sdtPr>
          <w:rPr>
            <w:rFonts w:cs="Arial"/>
          </w:rPr>
          <w:id w:val="-1451471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Developer</w:t>
      </w:r>
    </w:p>
    <w:p w14:paraId="638ED1AD" w14:textId="7F383639" w:rsidR="0004419B" w:rsidRDefault="0004419B" w:rsidP="0004419B">
      <w:pPr>
        <w:spacing w:before="240" w:after="120"/>
        <w:rPr>
          <w:rFonts w:cs="Arial"/>
        </w:rPr>
      </w:pPr>
      <w:r>
        <w:rPr>
          <w:rFonts w:cs="Arial"/>
        </w:rPr>
        <w:tab/>
      </w:r>
      <w:sdt>
        <w:sdtPr>
          <w:rPr>
            <w:rFonts w:cs="Arial"/>
          </w:rPr>
          <w:id w:val="-294293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Building / Construction</w:t>
      </w:r>
    </w:p>
    <w:p w14:paraId="79D7E801" w14:textId="1AF12C2E" w:rsidR="0004419B" w:rsidRDefault="0004419B" w:rsidP="0004419B">
      <w:pPr>
        <w:spacing w:before="240" w:after="120"/>
        <w:rPr>
          <w:rFonts w:cs="Arial"/>
        </w:rPr>
      </w:pPr>
      <w:r>
        <w:rPr>
          <w:rFonts w:cs="Arial"/>
        </w:rPr>
        <w:tab/>
      </w:r>
      <w:sdt>
        <w:sdtPr>
          <w:rPr>
            <w:rFonts w:cs="Arial"/>
          </w:rPr>
          <w:id w:val="-1523089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Architect / Designer</w:t>
      </w:r>
    </w:p>
    <w:p w14:paraId="03A21956" w14:textId="644D84AE" w:rsidR="0004419B" w:rsidRDefault="0004419B" w:rsidP="0004419B">
      <w:pPr>
        <w:spacing w:before="240" w:after="120"/>
        <w:rPr>
          <w:rFonts w:cs="Arial"/>
        </w:rPr>
      </w:pPr>
      <w:r>
        <w:rPr>
          <w:rFonts w:cs="Arial"/>
        </w:rPr>
        <w:tab/>
      </w:r>
      <w:sdt>
        <w:sdtPr>
          <w:rPr>
            <w:rFonts w:cs="Arial"/>
          </w:rPr>
          <w:id w:val="-8512608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Disability or accessible housing advocate</w:t>
      </w:r>
    </w:p>
    <w:p w14:paraId="10F09B4E" w14:textId="7E0B3B22" w:rsidR="0004419B" w:rsidRDefault="0004419B" w:rsidP="0004419B">
      <w:pPr>
        <w:spacing w:before="240" w:after="120"/>
        <w:rPr>
          <w:rFonts w:cs="Arial"/>
        </w:rPr>
      </w:pPr>
      <w:r>
        <w:rPr>
          <w:rFonts w:cs="Arial"/>
        </w:rPr>
        <w:tab/>
      </w:r>
      <w:sdt>
        <w:sdtPr>
          <w:rPr>
            <w:rFonts w:cs="Arial"/>
          </w:rPr>
          <w:id w:val="433026866"/>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r>
        <w:rPr>
          <w:rFonts w:cs="Arial"/>
        </w:rPr>
        <w:t xml:space="preserve"> Government</w:t>
      </w:r>
    </w:p>
    <w:p w14:paraId="18E14AFF" w14:textId="344F5ED2" w:rsidR="0004419B" w:rsidRDefault="0004419B" w:rsidP="009743C1">
      <w:pPr>
        <w:pBdr>
          <w:bottom w:val="single" w:sz="4" w:space="1" w:color="auto"/>
        </w:pBdr>
        <w:spacing w:before="240" w:after="120"/>
        <w:rPr>
          <w:rFonts w:cs="Arial"/>
        </w:rPr>
      </w:pPr>
      <w:r>
        <w:rPr>
          <w:rFonts w:cs="Arial"/>
        </w:rPr>
        <w:tab/>
      </w:r>
      <w:sdt>
        <w:sdtPr>
          <w:rPr>
            <w:rFonts w:cs="Arial"/>
          </w:rPr>
          <w:id w:val="1862166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Other (please specify)</w:t>
      </w:r>
      <w:r w:rsidRPr="0004419B">
        <w:rPr>
          <w:rFonts w:cs="Arial"/>
        </w:rPr>
        <w:t xml:space="preserve"> </w:t>
      </w:r>
      <w:sdt>
        <w:sdtPr>
          <w:rPr>
            <w:rFonts w:cs="Arial"/>
          </w:rPr>
          <w:id w:val="1950196034"/>
          <w:placeholder>
            <w:docPart w:val="C255FCDACFD54F8DB77266D060817E2F"/>
          </w:placeholder>
          <w:showingPlcHdr/>
          <w:text/>
        </w:sdtPr>
        <w:sdtEndPr/>
        <w:sdtContent>
          <w:r w:rsidRPr="004D55AA">
            <w:rPr>
              <w:rStyle w:val="PlaceholderText"/>
              <w:rFonts w:cs="Arial"/>
              <w:i/>
            </w:rPr>
            <w:t>Click here to enter text.</w:t>
          </w:r>
        </w:sdtContent>
      </w:sdt>
    </w:p>
    <w:p w14:paraId="013CC5C8" w14:textId="04ABC0CA" w:rsidR="00611785" w:rsidRPr="00887A08" w:rsidRDefault="0004419B" w:rsidP="00302840">
      <w:pPr>
        <w:spacing w:before="240" w:after="120"/>
        <w:rPr>
          <w:rFonts w:cs="Arial"/>
        </w:rPr>
      </w:pPr>
      <w:r>
        <w:rPr>
          <w:rFonts w:cs="Arial"/>
        </w:rPr>
        <w:t xml:space="preserve">9. </w:t>
      </w:r>
      <w:r>
        <w:rPr>
          <w:rFonts w:cs="Arial"/>
        </w:rPr>
        <w:tab/>
      </w:r>
      <w:r w:rsidR="00611785">
        <w:rPr>
          <w:rFonts w:cs="Arial"/>
        </w:rPr>
        <w:t>If d</w:t>
      </w:r>
      <w:r w:rsidR="00302840" w:rsidRPr="00887A08">
        <w:rPr>
          <w:rFonts w:cs="Arial"/>
        </w:rPr>
        <w:t>eveloper, b</w:t>
      </w:r>
      <w:r w:rsidR="00611785">
        <w:rPr>
          <w:rFonts w:cs="Arial"/>
        </w:rPr>
        <w:t>uilder, designer or architect, a</w:t>
      </w:r>
      <w:r w:rsidR="00302840" w:rsidRPr="00887A08">
        <w:rPr>
          <w:rFonts w:cs="Arial"/>
        </w:rPr>
        <w:t xml:space="preserve">pproximately what percentage of your </w:t>
      </w:r>
      <w:r w:rsidR="00611785">
        <w:rPr>
          <w:rFonts w:cs="Arial"/>
        </w:rPr>
        <w:tab/>
      </w:r>
      <w:r w:rsidR="00302840" w:rsidRPr="00887A08">
        <w:rPr>
          <w:rFonts w:cs="Arial"/>
        </w:rPr>
        <w:t>clients request accessibility features</w:t>
      </w:r>
      <w:r w:rsidR="00611785">
        <w:rPr>
          <w:rFonts w:cs="Arial"/>
        </w:rPr>
        <w:t xml:space="preserve"> (in the past 12 months)</w:t>
      </w:r>
      <w:r w:rsidR="00302840" w:rsidRPr="00887A08">
        <w:rPr>
          <w:rFonts w:cs="Arial"/>
        </w:rPr>
        <w:t xml:space="preserve">? </w:t>
      </w:r>
    </w:p>
    <w:tbl>
      <w:tblPr>
        <w:tblStyle w:val="TableGrid"/>
        <w:tblW w:w="9072" w:type="dxa"/>
        <w:tblLook w:val="04A0" w:firstRow="1" w:lastRow="0" w:firstColumn="1" w:lastColumn="0" w:noHBand="0" w:noVBand="1"/>
        <w:tblCaption w:val="Question 9 Response Table"/>
      </w:tblPr>
      <w:tblGrid>
        <w:gridCol w:w="4536"/>
        <w:gridCol w:w="4536"/>
      </w:tblGrid>
      <w:tr w:rsidR="00302840" w:rsidRPr="00887A08" w14:paraId="115BD04A" w14:textId="77777777" w:rsidTr="004F0152">
        <w:trPr>
          <w:trHeight w:val="340"/>
          <w:tblHeader/>
        </w:trPr>
        <w:tc>
          <w:tcPr>
            <w:tcW w:w="4536" w:type="dxa"/>
            <w:shd w:val="clear" w:color="auto" w:fill="D9D9D9" w:themeFill="background1" w:themeFillShade="D9"/>
          </w:tcPr>
          <w:p w14:paraId="79770790" w14:textId="3BB853A2" w:rsidR="00302840" w:rsidRPr="00611785" w:rsidRDefault="00611785" w:rsidP="009743C1">
            <w:pPr>
              <w:jc w:val="center"/>
              <w:rPr>
                <w:rFonts w:cs="Arial"/>
                <w:b/>
              </w:rPr>
            </w:pPr>
            <w:r w:rsidRPr="00611785">
              <w:rPr>
                <w:rFonts w:cs="Arial"/>
                <w:b/>
              </w:rPr>
              <w:t xml:space="preserve">Client </w:t>
            </w:r>
            <w:r w:rsidR="009743C1">
              <w:rPr>
                <w:rFonts w:cs="Arial"/>
                <w:b/>
              </w:rPr>
              <w:t>Group</w:t>
            </w:r>
          </w:p>
        </w:tc>
        <w:tc>
          <w:tcPr>
            <w:tcW w:w="4536" w:type="dxa"/>
            <w:shd w:val="clear" w:color="auto" w:fill="D9D9D9" w:themeFill="background1" w:themeFillShade="D9"/>
          </w:tcPr>
          <w:p w14:paraId="666A26B5" w14:textId="5F3370AE" w:rsidR="00302840" w:rsidRPr="00611785" w:rsidRDefault="00611785" w:rsidP="00510CF9">
            <w:pPr>
              <w:jc w:val="center"/>
              <w:rPr>
                <w:rFonts w:cs="Arial"/>
                <w:b/>
              </w:rPr>
            </w:pPr>
            <w:r w:rsidRPr="00611785">
              <w:rPr>
                <w:rFonts w:cs="Arial"/>
                <w:b/>
              </w:rPr>
              <w:t xml:space="preserve"> </w:t>
            </w:r>
            <w:r w:rsidR="009743C1">
              <w:rPr>
                <w:rFonts w:cs="Arial"/>
                <w:b/>
              </w:rPr>
              <w:t>Estimated p</w:t>
            </w:r>
            <w:r w:rsidRPr="00611785">
              <w:rPr>
                <w:rFonts w:cs="Arial"/>
                <w:b/>
              </w:rPr>
              <w:t>ercentage (</w:t>
            </w:r>
            <w:r w:rsidR="00302840" w:rsidRPr="00611785">
              <w:rPr>
                <w:rFonts w:cs="Arial"/>
                <w:b/>
              </w:rPr>
              <w:t>%</w:t>
            </w:r>
            <w:r w:rsidRPr="00611785">
              <w:rPr>
                <w:rFonts w:cs="Arial"/>
                <w:b/>
              </w:rPr>
              <w:t>)</w:t>
            </w:r>
          </w:p>
        </w:tc>
      </w:tr>
      <w:tr w:rsidR="00302840" w:rsidRPr="00887A08" w14:paraId="01C33918" w14:textId="77777777" w:rsidTr="004F0152">
        <w:trPr>
          <w:trHeight w:val="340"/>
        </w:trPr>
        <w:tc>
          <w:tcPr>
            <w:tcW w:w="4536" w:type="dxa"/>
          </w:tcPr>
          <w:p w14:paraId="0A5254E4" w14:textId="77777777" w:rsidR="00302840" w:rsidRPr="00887A08" w:rsidRDefault="00302840" w:rsidP="00510CF9">
            <w:pPr>
              <w:rPr>
                <w:rFonts w:cs="Arial"/>
              </w:rPr>
            </w:pPr>
            <w:r w:rsidRPr="00887A08">
              <w:rPr>
                <w:rFonts w:cs="Arial"/>
              </w:rPr>
              <w:t>Owner occupiers</w:t>
            </w:r>
          </w:p>
        </w:tc>
        <w:tc>
          <w:tcPr>
            <w:tcW w:w="4536" w:type="dxa"/>
          </w:tcPr>
          <w:p w14:paraId="138F768A" w14:textId="68B54A4B" w:rsidR="00302840" w:rsidRPr="00887A08" w:rsidRDefault="00FE3C57" w:rsidP="00510CF9">
            <w:pPr>
              <w:rPr>
                <w:rFonts w:cs="Arial"/>
              </w:rPr>
            </w:pPr>
            <w:sdt>
              <w:sdtPr>
                <w:rPr>
                  <w:rFonts w:cs="Arial"/>
                </w:rPr>
                <w:id w:val="428315219"/>
                <w:placeholder>
                  <w:docPart w:val="9EE2FF6C07E64403A3EF6BF423D88D8D"/>
                </w:placeholder>
                <w:showingPlcHdr/>
                <w:text/>
              </w:sdtPr>
              <w:sdtEndPr/>
              <w:sdtContent>
                <w:r w:rsidR="009743C1" w:rsidRPr="004D55AA">
                  <w:rPr>
                    <w:rStyle w:val="PlaceholderText"/>
                    <w:rFonts w:cs="Arial"/>
                    <w:i/>
                  </w:rPr>
                  <w:t>Click here to enter text.</w:t>
                </w:r>
              </w:sdtContent>
            </w:sdt>
          </w:p>
        </w:tc>
      </w:tr>
      <w:tr w:rsidR="00302840" w:rsidRPr="00887A08" w14:paraId="07542F03" w14:textId="77777777" w:rsidTr="004F0152">
        <w:trPr>
          <w:trHeight w:val="340"/>
        </w:trPr>
        <w:tc>
          <w:tcPr>
            <w:tcW w:w="4536" w:type="dxa"/>
          </w:tcPr>
          <w:p w14:paraId="39720099" w14:textId="77777777" w:rsidR="00302840" w:rsidRPr="00887A08" w:rsidRDefault="00302840" w:rsidP="00510CF9">
            <w:pPr>
              <w:rPr>
                <w:rFonts w:cs="Arial"/>
              </w:rPr>
            </w:pPr>
            <w:r w:rsidRPr="00887A08">
              <w:rPr>
                <w:rFonts w:cs="Arial"/>
              </w:rPr>
              <w:t>Investors</w:t>
            </w:r>
          </w:p>
        </w:tc>
        <w:tc>
          <w:tcPr>
            <w:tcW w:w="4536" w:type="dxa"/>
          </w:tcPr>
          <w:p w14:paraId="658DADDF" w14:textId="459F8028" w:rsidR="00302840" w:rsidRPr="00887A08" w:rsidRDefault="00FE3C57" w:rsidP="00510CF9">
            <w:pPr>
              <w:rPr>
                <w:rFonts w:cs="Arial"/>
              </w:rPr>
            </w:pPr>
            <w:sdt>
              <w:sdtPr>
                <w:rPr>
                  <w:rFonts w:cs="Arial"/>
                </w:rPr>
                <w:id w:val="775839826"/>
                <w:placeholder>
                  <w:docPart w:val="823817AC293A4033ADD142B09BE8FEA3"/>
                </w:placeholder>
                <w:showingPlcHdr/>
                <w:text/>
              </w:sdtPr>
              <w:sdtEndPr/>
              <w:sdtContent>
                <w:r w:rsidR="009743C1" w:rsidRPr="004D55AA">
                  <w:rPr>
                    <w:rStyle w:val="PlaceholderText"/>
                    <w:rFonts w:cs="Arial"/>
                    <w:i/>
                  </w:rPr>
                  <w:t>Click here to enter text.</w:t>
                </w:r>
              </w:sdtContent>
            </w:sdt>
          </w:p>
        </w:tc>
      </w:tr>
      <w:tr w:rsidR="009743C1" w:rsidRPr="00887A08" w14:paraId="2DABEB0D" w14:textId="77777777" w:rsidTr="004F0152">
        <w:trPr>
          <w:trHeight w:val="340"/>
        </w:trPr>
        <w:tc>
          <w:tcPr>
            <w:tcW w:w="4536" w:type="dxa"/>
          </w:tcPr>
          <w:p w14:paraId="0765EB6E" w14:textId="623F522C" w:rsidR="009743C1" w:rsidRPr="00887A08" w:rsidRDefault="009743C1" w:rsidP="00510CF9">
            <w:pPr>
              <w:rPr>
                <w:rFonts w:cs="Arial"/>
              </w:rPr>
            </w:pPr>
            <w:r>
              <w:rPr>
                <w:rFonts w:cs="Arial"/>
              </w:rPr>
              <w:t>Other (please specify)</w:t>
            </w:r>
          </w:p>
        </w:tc>
        <w:tc>
          <w:tcPr>
            <w:tcW w:w="4536" w:type="dxa"/>
          </w:tcPr>
          <w:p w14:paraId="6C05982D" w14:textId="77CC5E2D" w:rsidR="009743C1" w:rsidRDefault="00FE3C57" w:rsidP="00510CF9">
            <w:pPr>
              <w:rPr>
                <w:rFonts w:cs="Arial"/>
              </w:rPr>
            </w:pPr>
            <w:sdt>
              <w:sdtPr>
                <w:rPr>
                  <w:rFonts w:cs="Arial"/>
                </w:rPr>
                <w:id w:val="1686164199"/>
                <w:placeholder>
                  <w:docPart w:val="87F3059DED7B4A808C0627A73C1A3E28"/>
                </w:placeholder>
                <w:showingPlcHdr/>
                <w:text/>
              </w:sdtPr>
              <w:sdtEndPr/>
              <w:sdtContent>
                <w:r w:rsidR="009743C1" w:rsidRPr="004D55AA">
                  <w:rPr>
                    <w:rStyle w:val="PlaceholderText"/>
                    <w:rFonts w:cs="Arial"/>
                    <w:i/>
                  </w:rPr>
                  <w:t>Click here to enter text.</w:t>
                </w:r>
              </w:sdtContent>
            </w:sdt>
          </w:p>
        </w:tc>
      </w:tr>
    </w:tbl>
    <w:p w14:paraId="56AE384B" w14:textId="77777777" w:rsidR="009743C1" w:rsidRDefault="009743C1" w:rsidP="009743C1">
      <w:pPr>
        <w:pBdr>
          <w:bottom w:val="single" w:sz="4" w:space="1" w:color="auto"/>
        </w:pBdr>
        <w:spacing w:before="240" w:after="120"/>
        <w:rPr>
          <w:rFonts w:cs="Arial"/>
        </w:rPr>
      </w:pPr>
    </w:p>
    <w:p w14:paraId="7E2DBC5F" w14:textId="4172CE4B" w:rsidR="009743C1" w:rsidRDefault="009743C1" w:rsidP="00302840">
      <w:pPr>
        <w:spacing w:before="240" w:after="120"/>
        <w:rPr>
          <w:rFonts w:cs="Arial"/>
        </w:rPr>
      </w:pPr>
      <w:r>
        <w:rPr>
          <w:rFonts w:cs="Arial"/>
        </w:rPr>
        <w:t>10.</w:t>
      </w:r>
      <w:r>
        <w:rPr>
          <w:rFonts w:cs="Arial"/>
        </w:rPr>
        <w:tab/>
      </w:r>
      <w:r w:rsidRPr="009743C1">
        <w:rPr>
          <w:rFonts w:cs="Arial"/>
        </w:rPr>
        <w:t>If Developer, b</w:t>
      </w:r>
      <w:r>
        <w:rPr>
          <w:rFonts w:cs="Arial"/>
        </w:rPr>
        <w:t>uilder, designer or architect, w</w:t>
      </w:r>
      <w:r w:rsidRPr="009743C1">
        <w:rPr>
          <w:rFonts w:cs="Arial"/>
        </w:rPr>
        <w:t xml:space="preserve">hat are the most requested accessibility </w:t>
      </w:r>
      <w:r>
        <w:rPr>
          <w:rFonts w:cs="Arial"/>
        </w:rPr>
        <w:tab/>
      </w:r>
      <w:r w:rsidRPr="009743C1">
        <w:rPr>
          <w:rFonts w:cs="Arial"/>
        </w:rPr>
        <w:t>features from your clients?</w:t>
      </w:r>
      <w:r>
        <w:rPr>
          <w:rFonts w:cs="Arial"/>
        </w:rPr>
        <w:t xml:space="preserve"> </w:t>
      </w:r>
    </w:p>
    <w:p w14:paraId="41F725D2" w14:textId="53587ECA" w:rsidR="009743C1" w:rsidRDefault="009743C1" w:rsidP="009743C1">
      <w:pPr>
        <w:pBdr>
          <w:bottom w:val="single" w:sz="4" w:space="1" w:color="auto"/>
        </w:pBdr>
        <w:spacing w:before="240" w:after="120"/>
        <w:rPr>
          <w:rFonts w:cs="Arial"/>
        </w:rPr>
      </w:pPr>
      <w:r>
        <w:rPr>
          <w:rFonts w:cs="Arial"/>
        </w:rPr>
        <w:tab/>
      </w:r>
      <w:sdt>
        <w:sdtPr>
          <w:rPr>
            <w:rFonts w:cs="Arial"/>
          </w:rPr>
          <w:id w:val="1129431191"/>
          <w:placeholder>
            <w:docPart w:val="FD1CEC9ECF4E47C8ADC48F5AB1C97CE4"/>
          </w:placeholder>
          <w:showingPlcHdr/>
          <w:text/>
        </w:sdtPr>
        <w:sdtEndPr/>
        <w:sdtContent>
          <w:r w:rsidRPr="004D55AA">
            <w:rPr>
              <w:rStyle w:val="PlaceholderText"/>
              <w:rFonts w:cs="Arial"/>
              <w:i/>
            </w:rPr>
            <w:t>Click here to enter text.</w:t>
          </w:r>
        </w:sdtContent>
      </w:sdt>
    </w:p>
    <w:p w14:paraId="6CB04D52" w14:textId="77777777" w:rsidR="003937A8" w:rsidRDefault="003937A8">
      <w:pPr>
        <w:jc w:val="left"/>
        <w:rPr>
          <w:rFonts w:asciiTheme="majorHAnsi" w:eastAsiaTheme="majorEastAsia" w:hAnsiTheme="majorHAnsi" w:cstheme="majorBidi"/>
          <w:b/>
          <w:bCs/>
          <w:color w:val="002060"/>
          <w:sz w:val="32"/>
          <w:szCs w:val="26"/>
        </w:rPr>
      </w:pPr>
      <w:r>
        <w:br w:type="page"/>
      </w:r>
    </w:p>
    <w:p w14:paraId="4891675B" w14:textId="2CDB1B3A" w:rsidR="00302840" w:rsidRDefault="009743C1" w:rsidP="009743C1">
      <w:pPr>
        <w:pStyle w:val="Heading2"/>
      </w:pPr>
      <w:r>
        <w:t>Questions about the Objective</w:t>
      </w:r>
    </w:p>
    <w:p w14:paraId="79FECD2B" w14:textId="2C910ACF" w:rsidR="009743C1" w:rsidRPr="009743C1" w:rsidRDefault="009743C1" w:rsidP="009743C1">
      <w:r>
        <w:t>Note: the objective is discussed on pages 13-14.</w:t>
      </w:r>
    </w:p>
    <w:p w14:paraId="10D2588E" w14:textId="3B48DF44" w:rsidR="00302840" w:rsidRDefault="009743C1" w:rsidP="00302840">
      <w:pPr>
        <w:spacing w:before="240" w:after="120"/>
        <w:rPr>
          <w:rFonts w:cs="Arial"/>
        </w:rPr>
      </w:pPr>
      <w:r>
        <w:rPr>
          <w:rFonts w:cs="Arial"/>
        </w:rPr>
        <w:t>11.</w:t>
      </w:r>
      <w:r>
        <w:rPr>
          <w:rFonts w:cs="Arial"/>
        </w:rPr>
        <w:tab/>
      </w:r>
      <w:r w:rsidR="00302840" w:rsidRPr="00887A08">
        <w:rPr>
          <w:rFonts w:cs="Arial"/>
        </w:rPr>
        <w:t xml:space="preserve">The Objective is that people have access to housing with a minimum level of </w:t>
      </w:r>
      <w:r>
        <w:rPr>
          <w:rFonts w:cs="Arial"/>
        </w:rPr>
        <w:tab/>
      </w:r>
      <w:r w:rsidR="00302840" w:rsidRPr="00887A08">
        <w:rPr>
          <w:rFonts w:cs="Arial"/>
        </w:rPr>
        <w:t xml:space="preserve">accessibility features necessary, across a greater choice of accommodation options. </w:t>
      </w:r>
      <w:r>
        <w:rPr>
          <w:rFonts w:cs="Arial"/>
        </w:rPr>
        <w:tab/>
      </w:r>
      <w:r w:rsidR="00302840" w:rsidRPr="00887A08">
        <w:rPr>
          <w:rFonts w:cs="Arial"/>
        </w:rPr>
        <w:t xml:space="preserve">Do you agree with the Objective? </w:t>
      </w:r>
      <w:r>
        <w:rPr>
          <w:rFonts w:cs="Arial"/>
        </w:rPr>
        <w:t xml:space="preserve">If you do not agree with the Objective, please provide </w:t>
      </w:r>
      <w:r>
        <w:rPr>
          <w:rFonts w:cs="Arial"/>
        </w:rPr>
        <w:tab/>
        <w:t xml:space="preserve">reasons and possible alternatives. </w:t>
      </w:r>
    </w:p>
    <w:p w14:paraId="0EDFD05B" w14:textId="6E51162B" w:rsidR="009743C1" w:rsidRDefault="009743C1" w:rsidP="009743C1">
      <w:pPr>
        <w:pBdr>
          <w:bottom w:val="single" w:sz="4" w:space="1" w:color="auto"/>
        </w:pBdr>
        <w:spacing w:before="240" w:after="120"/>
        <w:rPr>
          <w:rFonts w:cs="Arial"/>
        </w:rPr>
      </w:pPr>
      <w:r>
        <w:rPr>
          <w:rFonts w:cs="Arial"/>
        </w:rPr>
        <w:tab/>
      </w:r>
      <w:sdt>
        <w:sdtPr>
          <w:rPr>
            <w:rFonts w:cs="Arial"/>
          </w:rPr>
          <w:id w:val="955906611"/>
          <w:placeholder>
            <w:docPart w:val="F6DB1D13626E40CFA02F79A33D8279FA"/>
          </w:placeholder>
          <w:showingPlcHdr/>
          <w:text/>
        </w:sdtPr>
        <w:sdtEndPr/>
        <w:sdtContent>
          <w:r w:rsidRPr="004D55AA">
            <w:rPr>
              <w:rStyle w:val="PlaceholderText"/>
              <w:rFonts w:cs="Arial"/>
              <w:i/>
            </w:rPr>
            <w:t>Click here to enter text.</w:t>
          </w:r>
        </w:sdtContent>
      </w:sdt>
    </w:p>
    <w:p w14:paraId="50CC0778" w14:textId="59EE23F0" w:rsidR="00900AD6" w:rsidRDefault="00D56374" w:rsidP="00302840">
      <w:pPr>
        <w:spacing w:before="240" w:after="120"/>
        <w:rPr>
          <w:rFonts w:cs="Arial"/>
        </w:rPr>
      </w:pPr>
      <w:r>
        <w:rPr>
          <w:rFonts w:cs="Arial"/>
        </w:rPr>
        <w:t>12.</w:t>
      </w:r>
      <w:r>
        <w:rPr>
          <w:rFonts w:cs="Arial"/>
        </w:rPr>
        <w:tab/>
      </w:r>
      <w:r w:rsidR="00302840" w:rsidRPr="00887A08">
        <w:rPr>
          <w:rFonts w:cs="Arial"/>
        </w:rPr>
        <w:t xml:space="preserve">The ‘Objective’ section of the Options Paper described three considerations as </w:t>
      </w:r>
      <w:r>
        <w:rPr>
          <w:rFonts w:cs="Arial"/>
        </w:rPr>
        <w:tab/>
      </w:r>
      <w:r w:rsidR="00302840" w:rsidRPr="00887A08">
        <w:rPr>
          <w:rFonts w:cs="Arial"/>
        </w:rPr>
        <w:t xml:space="preserve">relevant to the setting of an accessibility standard.  To what extent do you agree or </w:t>
      </w:r>
      <w:r>
        <w:rPr>
          <w:rFonts w:cs="Arial"/>
        </w:rPr>
        <w:tab/>
      </w:r>
      <w:r w:rsidR="00302840" w:rsidRPr="00887A08">
        <w:rPr>
          <w:rFonts w:cs="Arial"/>
        </w:rPr>
        <w:t>disagree that each of these considerations is relevant</w:t>
      </w:r>
      <w:r w:rsidR="00900AD6">
        <w:rPr>
          <w:rFonts w:cs="Arial"/>
        </w:rPr>
        <w:t xml:space="preserve"> </w:t>
      </w:r>
    </w:p>
    <w:p w14:paraId="1ADCE5C9" w14:textId="5B59C034" w:rsidR="00692289" w:rsidRPr="00900AD6" w:rsidRDefault="00900AD6" w:rsidP="00302840">
      <w:pPr>
        <w:spacing w:before="240" w:after="120"/>
        <w:rPr>
          <w:rFonts w:cs="Arial"/>
          <w:i/>
        </w:rPr>
      </w:pPr>
      <w:r>
        <w:rPr>
          <w:rFonts w:cs="Arial"/>
        </w:rPr>
        <w:tab/>
      </w:r>
      <w:r w:rsidRPr="00900AD6">
        <w:rPr>
          <w:rFonts w:cs="Arial"/>
          <w:i/>
        </w:rPr>
        <w:t xml:space="preserve">Tick one </w:t>
      </w:r>
      <w:r w:rsidR="00800B80">
        <w:rPr>
          <w:rFonts w:cs="Arial"/>
          <w:i/>
        </w:rPr>
        <w:t xml:space="preserve">box </w:t>
      </w:r>
      <w:r w:rsidRPr="00900AD6">
        <w:rPr>
          <w:rFonts w:cs="Arial"/>
          <w:i/>
        </w:rPr>
        <w:t xml:space="preserve">in each row in the table below, where ‘1’ means ‘strongly disagree’ and </w:t>
      </w:r>
      <w:r w:rsidR="00800B80">
        <w:rPr>
          <w:rFonts w:cs="Arial"/>
          <w:i/>
        </w:rPr>
        <w:tab/>
      </w:r>
      <w:r>
        <w:rPr>
          <w:rFonts w:cs="Arial"/>
          <w:i/>
        </w:rPr>
        <w:t>‘</w:t>
      </w:r>
      <w:r w:rsidRPr="00900AD6">
        <w:rPr>
          <w:rFonts w:cs="Arial"/>
          <w:i/>
        </w:rPr>
        <w:t>5</w:t>
      </w:r>
      <w:r>
        <w:rPr>
          <w:rFonts w:cs="Arial"/>
          <w:i/>
        </w:rPr>
        <w:t>’</w:t>
      </w:r>
      <w:r w:rsidRPr="00900AD6">
        <w:rPr>
          <w:rFonts w:cs="Arial"/>
          <w:i/>
        </w:rPr>
        <w:t xml:space="preserve"> means ‘strongly agree’</w:t>
      </w:r>
      <w:r w:rsidR="001A3148">
        <w:rPr>
          <w:rFonts w:cs="Arial"/>
          <w:i/>
        </w:rPr>
        <w:t>.</w:t>
      </w:r>
    </w:p>
    <w:tbl>
      <w:tblPr>
        <w:tblStyle w:val="TableGrid"/>
        <w:tblW w:w="9634" w:type="dxa"/>
        <w:tblLayout w:type="fixed"/>
        <w:tblLook w:val="04A0" w:firstRow="1" w:lastRow="0" w:firstColumn="1" w:lastColumn="0" w:noHBand="0" w:noVBand="1"/>
        <w:tblCaption w:val="Question 12 response table"/>
      </w:tblPr>
      <w:tblGrid>
        <w:gridCol w:w="4106"/>
        <w:gridCol w:w="1105"/>
        <w:gridCol w:w="1106"/>
        <w:gridCol w:w="1105"/>
        <w:gridCol w:w="1106"/>
        <w:gridCol w:w="1106"/>
      </w:tblGrid>
      <w:tr w:rsidR="00900AD6" w:rsidRPr="00887A08" w14:paraId="3D38A4CB" w14:textId="77777777" w:rsidTr="000D3298">
        <w:trPr>
          <w:trHeight w:val="340"/>
          <w:tblHeader/>
        </w:trPr>
        <w:tc>
          <w:tcPr>
            <w:tcW w:w="4106" w:type="dxa"/>
            <w:shd w:val="clear" w:color="auto" w:fill="D9D9D9" w:themeFill="background1" w:themeFillShade="D9"/>
            <w:vAlign w:val="center"/>
          </w:tcPr>
          <w:p w14:paraId="0BA93497" w14:textId="732BC170" w:rsidR="00900AD6" w:rsidRPr="00900AD6" w:rsidRDefault="00900AD6" w:rsidP="00510CF9">
            <w:pPr>
              <w:rPr>
                <w:rFonts w:cs="Arial"/>
                <w:b/>
              </w:rPr>
            </w:pPr>
            <w:r w:rsidRPr="00900AD6">
              <w:rPr>
                <w:rFonts w:cs="Arial"/>
                <w:b/>
              </w:rPr>
              <w:t>Statement</w:t>
            </w:r>
          </w:p>
        </w:tc>
        <w:tc>
          <w:tcPr>
            <w:tcW w:w="1105" w:type="dxa"/>
            <w:shd w:val="clear" w:color="auto" w:fill="D9D9D9" w:themeFill="background1" w:themeFillShade="D9"/>
            <w:vAlign w:val="center"/>
          </w:tcPr>
          <w:p w14:paraId="14FE028B" w14:textId="77777777" w:rsidR="00900AD6" w:rsidRPr="00900AD6" w:rsidRDefault="00900AD6" w:rsidP="00510CF9">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6FB45B4C" w14:textId="77777777" w:rsidR="00900AD6" w:rsidRPr="00900AD6" w:rsidRDefault="00900AD6" w:rsidP="00510CF9">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751F536A" w14:textId="77777777" w:rsidR="00900AD6" w:rsidRPr="00900AD6" w:rsidRDefault="00900AD6" w:rsidP="00510CF9">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4DCFFD6C" w14:textId="77777777" w:rsidR="00900AD6" w:rsidRPr="00900AD6" w:rsidRDefault="00900AD6" w:rsidP="00510CF9">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3F39F213" w14:textId="77777777" w:rsidR="00900AD6" w:rsidRPr="00900AD6" w:rsidRDefault="00900AD6" w:rsidP="00510CF9">
            <w:pPr>
              <w:jc w:val="center"/>
              <w:rPr>
                <w:rFonts w:cs="Arial"/>
                <w:b/>
                <w:sz w:val="20"/>
                <w:szCs w:val="20"/>
              </w:rPr>
            </w:pPr>
            <w:r w:rsidRPr="00900AD6">
              <w:rPr>
                <w:rFonts w:cs="Arial"/>
                <w:b/>
                <w:sz w:val="20"/>
                <w:szCs w:val="20"/>
              </w:rPr>
              <w:t>5</w:t>
            </w:r>
          </w:p>
        </w:tc>
      </w:tr>
      <w:tr w:rsidR="00900AD6" w:rsidRPr="00887A08" w14:paraId="222D72FD" w14:textId="77777777" w:rsidTr="00900AD6">
        <w:trPr>
          <w:trHeight w:val="624"/>
        </w:trPr>
        <w:tc>
          <w:tcPr>
            <w:tcW w:w="4106" w:type="dxa"/>
            <w:vAlign w:val="center"/>
          </w:tcPr>
          <w:p w14:paraId="4116CDF9" w14:textId="77777777" w:rsidR="00900AD6" w:rsidRPr="00887A08" w:rsidRDefault="00900AD6" w:rsidP="00900AD6">
            <w:pPr>
              <w:jc w:val="left"/>
              <w:rPr>
                <w:rFonts w:cs="Arial"/>
              </w:rPr>
            </w:pPr>
            <w:r w:rsidRPr="00887A08">
              <w:rPr>
                <w:rFonts w:cs="Arial"/>
              </w:rPr>
              <w:t xml:space="preserve">That a clear definition of 'accessibility' is agreed upon at an early stage. </w:t>
            </w:r>
          </w:p>
        </w:tc>
        <w:tc>
          <w:tcPr>
            <w:tcW w:w="1105" w:type="dxa"/>
            <w:vAlign w:val="center"/>
          </w:tcPr>
          <w:p w14:paraId="4FB10498" w14:textId="59E1366F" w:rsidR="00900AD6" w:rsidRPr="00887A08" w:rsidRDefault="00FE3C57" w:rsidP="00510CF9">
            <w:pPr>
              <w:rPr>
                <w:rFonts w:cs="Arial"/>
              </w:rPr>
            </w:pPr>
            <w:sdt>
              <w:sdtPr>
                <w:rPr>
                  <w:rFonts w:cs="Arial"/>
                </w:rPr>
                <w:id w:val="-800374123"/>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550A1C1A" w14:textId="7FB5CAA2" w:rsidR="00900AD6" w:rsidRPr="00887A08" w:rsidRDefault="00FE3C57" w:rsidP="00510CF9">
            <w:pPr>
              <w:rPr>
                <w:rFonts w:cs="Arial"/>
              </w:rPr>
            </w:pPr>
            <w:sdt>
              <w:sdtPr>
                <w:rPr>
                  <w:rFonts w:cs="Arial"/>
                </w:rPr>
                <w:id w:val="-479696830"/>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5" w:type="dxa"/>
            <w:vAlign w:val="center"/>
          </w:tcPr>
          <w:p w14:paraId="7FE4E5F6" w14:textId="30B21F96" w:rsidR="00900AD6" w:rsidRPr="00887A08" w:rsidRDefault="00FE3C57" w:rsidP="00510CF9">
            <w:pPr>
              <w:rPr>
                <w:rFonts w:cs="Arial"/>
              </w:rPr>
            </w:pPr>
            <w:sdt>
              <w:sdtPr>
                <w:rPr>
                  <w:rFonts w:cs="Arial"/>
                </w:rPr>
                <w:id w:val="1104161112"/>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0B570A61" w14:textId="6C4992CB" w:rsidR="00900AD6" w:rsidRPr="00887A08" w:rsidRDefault="00FE3C57" w:rsidP="00510CF9">
            <w:pPr>
              <w:rPr>
                <w:rFonts w:cs="Arial"/>
              </w:rPr>
            </w:pPr>
            <w:sdt>
              <w:sdtPr>
                <w:rPr>
                  <w:rFonts w:cs="Arial"/>
                </w:rPr>
                <w:id w:val="-610674221"/>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2535D008" w14:textId="74AE9573" w:rsidR="00900AD6" w:rsidRPr="00887A08" w:rsidRDefault="00FE3C57" w:rsidP="00510CF9">
            <w:pPr>
              <w:rPr>
                <w:rFonts w:cs="Arial"/>
              </w:rPr>
            </w:pPr>
            <w:sdt>
              <w:sdtPr>
                <w:rPr>
                  <w:rFonts w:cs="Arial"/>
                </w:rPr>
                <w:id w:val="-497966354"/>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r>
      <w:tr w:rsidR="00900AD6" w:rsidRPr="00887A08" w14:paraId="3E476C6E" w14:textId="77777777" w:rsidTr="00900AD6">
        <w:trPr>
          <w:trHeight w:val="1191"/>
        </w:trPr>
        <w:tc>
          <w:tcPr>
            <w:tcW w:w="4106" w:type="dxa"/>
            <w:vAlign w:val="center"/>
          </w:tcPr>
          <w:p w14:paraId="44A1256F" w14:textId="77777777" w:rsidR="00900AD6" w:rsidRPr="00887A08" w:rsidRDefault="00900AD6" w:rsidP="00900AD6">
            <w:pPr>
              <w:jc w:val="left"/>
              <w:rPr>
                <w:rFonts w:cs="Arial"/>
              </w:rPr>
            </w:pPr>
            <w:r w:rsidRPr="00887A08">
              <w:rPr>
                <w:rFonts w:cs="Arial"/>
              </w:rPr>
              <w:t>That any specification adopted addresses accessibility features that are essential, not just desirable or best practice, to meet that agreed definition.</w:t>
            </w:r>
          </w:p>
        </w:tc>
        <w:tc>
          <w:tcPr>
            <w:tcW w:w="1105" w:type="dxa"/>
            <w:vAlign w:val="center"/>
          </w:tcPr>
          <w:p w14:paraId="48E04EC3" w14:textId="25607C1B" w:rsidR="00900AD6" w:rsidRPr="00887A08" w:rsidRDefault="00FE3C57" w:rsidP="00510CF9">
            <w:pPr>
              <w:rPr>
                <w:rFonts w:cs="Arial"/>
              </w:rPr>
            </w:pPr>
            <w:sdt>
              <w:sdtPr>
                <w:rPr>
                  <w:rFonts w:cs="Arial"/>
                </w:rPr>
                <w:id w:val="-426573190"/>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603A59FE" w14:textId="001C3BFA" w:rsidR="00900AD6" w:rsidRPr="00887A08" w:rsidRDefault="00FE3C57" w:rsidP="00510CF9">
            <w:pPr>
              <w:rPr>
                <w:rFonts w:cs="Arial"/>
              </w:rPr>
            </w:pPr>
            <w:sdt>
              <w:sdtPr>
                <w:rPr>
                  <w:rFonts w:cs="Arial"/>
                </w:rPr>
                <w:id w:val="-2032328710"/>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5" w:type="dxa"/>
            <w:vAlign w:val="center"/>
          </w:tcPr>
          <w:p w14:paraId="399B463B" w14:textId="56747BFD" w:rsidR="00900AD6" w:rsidRPr="00887A08" w:rsidRDefault="00FE3C57" w:rsidP="00510CF9">
            <w:pPr>
              <w:rPr>
                <w:rFonts w:cs="Arial"/>
              </w:rPr>
            </w:pPr>
            <w:sdt>
              <w:sdtPr>
                <w:rPr>
                  <w:rFonts w:cs="Arial"/>
                </w:rPr>
                <w:id w:val="1454819385"/>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14E220ED" w14:textId="146EB01B" w:rsidR="00900AD6" w:rsidRPr="00887A08" w:rsidRDefault="00FE3C57" w:rsidP="00510CF9">
            <w:pPr>
              <w:rPr>
                <w:rFonts w:cs="Arial"/>
              </w:rPr>
            </w:pPr>
            <w:sdt>
              <w:sdtPr>
                <w:rPr>
                  <w:rFonts w:cs="Arial"/>
                </w:rPr>
                <w:id w:val="216016745"/>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4215CF42" w14:textId="7082BC58" w:rsidR="00900AD6" w:rsidRPr="00887A08" w:rsidRDefault="00FE3C57" w:rsidP="00510CF9">
            <w:pPr>
              <w:rPr>
                <w:rFonts w:cs="Arial"/>
              </w:rPr>
            </w:pPr>
            <w:sdt>
              <w:sdtPr>
                <w:rPr>
                  <w:rFonts w:cs="Arial"/>
                </w:rPr>
                <w:id w:val="-293221334"/>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r>
      <w:tr w:rsidR="00900AD6" w:rsidRPr="00887A08" w14:paraId="2BA232D2" w14:textId="77777777" w:rsidTr="00900AD6">
        <w:trPr>
          <w:trHeight w:val="964"/>
        </w:trPr>
        <w:tc>
          <w:tcPr>
            <w:tcW w:w="4106" w:type="dxa"/>
            <w:vAlign w:val="center"/>
          </w:tcPr>
          <w:p w14:paraId="551782F7" w14:textId="77777777" w:rsidR="00900AD6" w:rsidRPr="00887A08" w:rsidRDefault="00900AD6" w:rsidP="00900AD6">
            <w:pPr>
              <w:jc w:val="left"/>
              <w:rPr>
                <w:rFonts w:cs="Arial"/>
              </w:rPr>
            </w:pPr>
            <w:r w:rsidRPr="00887A08">
              <w:rPr>
                <w:rFonts w:cs="Arial"/>
              </w:rPr>
              <w:t>That such a specification is applied in a way that achieves a positive cost benefit to home buyers and the community.</w:t>
            </w:r>
          </w:p>
        </w:tc>
        <w:tc>
          <w:tcPr>
            <w:tcW w:w="1105" w:type="dxa"/>
            <w:vAlign w:val="center"/>
          </w:tcPr>
          <w:p w14:paraId="0A77797C" w14:textId="763452F8" w:rsidR="00900AD6" w:rsidRPr="00887A08" w:rsidRDefault="00FE3C57" w:rsidP="00510CF9">
            <w:pPr>
              <w:rPr>
                <w:rFonts w:cs="Arial"/>
              </w:rPr>
            </w:pPr>
            <w:sdt>
              <w:sdtPr>
                <w:rPr>
                  <w:rFonts w:cs="Arial"/>
                </w:rPr>
                <w:id w:val="2029524651"/>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247C3476" w14:textId="6FBAF5C2" w:rsidR="00900AD6" w:rsidRPr="00887A08" w:rsidRDefault="00FE3C57" w:rsidP="00510CF9">
            <w:pPr>
              <w:rPr>
                <w:rFonts w:cs="Arial"/>
              </w:rPr>
            </w:pPr>
            <w:sdt>
              <w:sdtPr>
                <w:rPr>
                  <w:rFonts w:cs="Arial"/>
                </w:rPr>
                <w:id w:val="-1432200458"/>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5" w:type="dxa"/>
            <w:vAlign w:val="center"/>
          </w:tcPr>
          <w:p w14:paraId="4BF555FE" w14:textId="22FEC72A" w:rsidR="00900AD6" w:rsidRPr="00887A08" w:rsidRDefault="00FE3C57" w:rsidP="00510CF9">
            <w:pPr>
              <w:rPr>
                <w:rFonts w:cs="Arial"/>
              </w:rPr>
            </w:pPr>
            <w:sdt>
              <w:sdtPr>
                <w:rPr>
                  <w:rFonts w:cs="Arial"/>
                </w:rPr>
                <w:id w:val="1244983974"/>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1DF0D8A4" w14:textId="11CA4E10" w:rsidR="00900AD6" w:rsidRPr="00887A08" w:rsidRDefault="00FE3C57" w:rsidP="00510CF9">
            <w:pPr>
              <w:rPr>
                <w:rFonts w:cs="Arial"/>
              </w:rPr>
            </w:pPr>
            <w:sdt>
              <w:sdtPr>
                <w:rPr>
                  <w:rFonts w:cs="Arial"/>
                </w:rPr>
                <w:id w:val="-1725598689"/>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c>
          <w:tcPr>
            <w:tcW w:w="1106" w:type="dxa"/>
            <w:vAlign w:val="center"/>
          </w:tcPr>
          <w:p w14:paraId="3BB3C1D4" w14:textId="11587AF4" w:rsidR="00900AD6" w:rsidRPr="00887A08" w:rsidRDefault="00FE3C57" w:rsidP="00510CF9">
            <w:pPr>
              <w:rPr>
                <w:rFonts w:cs="Arial"/>
              </w:rPr>
            </w:pPr>
            <w:sdt>
              <w:sdtPr>
                <w:rPr>
                  <w:rFonts w:cs="Arial"/>
                </w:rPr>
                <w:id w:val="-2146189652"/>
                <w14:checkbox>
                  <w14:checked w14:val="0"/>
                  <w14:checkedState w14:val="2612" w14:font="MS Gothic"/>
                  <w14:uncheckedState w14:val="2610" w14:font="MS Gothic"/>
                </w14:checkbox>
              </w:sdtPr>
              <w:sdtEndPr/>
              <w:sdtContent>
                <w:r w:rsidR="00900AD6">
                  <w:rPr>
                    <w:rFonts w:ascii="MS Gothic" w:eastAsia="MS Gothic" w:hAnsi="MS Gothic" w:cs="Arial" w:hint="eastAsia"/>
                  </w:rPr>
                  <w:t>☐</w:t>
                </w:r>
              </w:sdtContent>
            </w:sdt>
          </w:p>
        </w:tc>
      </w:tr>
    </w:tbl>
    <w:p w14:paraId="490B8DC0" w14:textId="77777777" w:rsidR="00900AD6" w:rsidRDefault="00900AD6" w:rsidP="00900AD6">
      <w:pPr>
        <w:pBdr>
          <w:bottom w:val="single" w:sz="4" w:space="1" w:color="auto"/>
        </w:pBdr>
        <w:spacing w:before="240" w:after="120"/>
        <w:rPr>
          <w:rFonts w:cs="Arial"/>
        </w:rPr>
      </w:pPr>
    </w:p>
    <w:p w14:paraId="08847E88" w14:textId="21CD0BFD" w:rsidR="00302840" w:rsidRDefault="00800B80" w:rsidP="00302840">
      <w:pPr>
        <w:spacing w:before="240" w:after="120"/>
        <w:rPr>
          <w:rFonts w:cs="Arial"/>
        </w:rPr>
      </w:pPr>
      <w:r>
        <w:rPr>
          <w:rFonts w:cs="Arial"/>
        </w:rPr>
        <w:t>13.</w:t>
      </w:r>
      <w:r>
        <w:rPr>
          <w:rFonts w:cs="Arial"/>
        </w:rPr>
        <w:tab/>
      </w:r>
      <w:r w:rsidR="00302840" w:rsidRPr="00887A08">
        <w:rPr>
          <w:rFonts w:cs="Arial"/>
        </w:rPr>
        <w:t xml:space="preserve">What other considerations do you consider relevant to the Objective (if any)? </w:t>
      </w:r>
    </w:p>
    <w:p w14:paraId="5DF6CB85" w14:textId="6DDF0E26" w:rsidR="00302840" w:rsidRPr="00887A08" w:rsidRDefault="00800B80" w:rsidP="00800B80">
      <w:pPr>
        <w:pBdr>
          <w:bottom w:val="single" w:sz="4" w:space="1" w:color="auto"/>
        </w:pBdr>
        <w:spacing w:before="240" w:after="120"/>
        <w:rPr>
          <w:rFonts w:cs="Arial"/>
        </w:rPr>
      </w:pPr>
      <w:r>
        <w:rPr>
          <w:rFonts w:cs="Arial"/>
        </w:rPr>
        <w:tab/>
      </w:r>
      <w:sdt>
        <w:sdtPr>
          <w:rPr>
            <w:rFonts w:cs="Arial"/>
          </w:rPr>
          <w:id w:val="-152754933"/>
          <w:placeholder>
            <w:docPart w:val="58C05CD18BBD4DE88A1A094E3B40BEB6"/>
          </w:placeholder>
          <w:showingPlcHdr/>
          <w:text/>
        </w:sdtPr>
        <w:sdtEndPr/>
        <w:sdtContent>
          <w:r w:rsidRPr="004D55AA">
            <w:rPr>
              <w:rStyle w:val="PlaceholderText"/>
              <w:rFonts w:cs="Arial"/>
              <w:i/>
            </w:rPr>
            <w:t>Click here to enter text.</w:t>
          </w:r>
        </w:sdtContent>
      </w:sdt>
    </w:p>
    <w:p w14:paraId="5FEA9C49" w14:textId="1D6475C1" w:rsidR="00302840" w:rsidRDefault="00800B80" w:rsidP="00302840">
      <w:pPr>
        <w:spacing w:before="240" w:after="120"/>
        <w:rPr>
          <w:rFonts w:cs="Arial"/>
        </w:rPr>
      </w:pPr>
      <w:r>
        <w:rPr>
          <w:rFonts w:cs="Arial"/>
        </w:rPr>
        <w:t>14.</w:t>
      </w:r>
      <w:r>
        <w:rPr>
          <w:rFonts w:cs="Arial"/>
        </w:rPr>
        <w:tab/>
      </w:r>
      <w:r w:rsidR="00302840" w:rsidRPr="00887A08">
        <w:rPr>
          <w:rFonts w:cs="Arial"/>
        </w:rPr>
        <w:t xml:space="preserve">The Building Ministers’ Forum (BMF) has provided direction that the Liveable Housing </w:t>
      </w:r>
      <w:r>
        <w:rPr>
          <w:rFonts w:cs="Arial"/>
        </w:rPr>
        <w:tab/>
      </w:r>
      <w:r w:rsidR="00302840" w:rsidRPr="00887A08">
        <w:rPr>
          <w:rFonts w:cs="Arial"/>
        </w:rPr>
        <w:t xml:space="preserve">Design Guidelines (LHDG) </w:t>
      </w:r>
      <w:r w:rsidR="00FC1FCB">
        <w:rPr>
          <w:rFonts w:cs="Arial"/>
        </w:rPr>
        <w:t xml:space="preserve">Silver and Gold Levels </w:t>
      </w:r>
      <w:r w:rsidR="00302840" w:rsidRPr="00887A08">
        <w:rPr>
          <w:rFonts w:cs="Arial"/>
        </w:rPr>
        <w:t xml:space="preserve">be considered as the basis for a </w:t>
      </w:r>
      <w:r w:rsidR="00FC1FCB">
        <w:rPr>
          <w:rFonts w:cs="Arial"/>
        </w:rPr>
        <w:tab/>
      </w:r>
      <w:r w:rsidR="00302840" w:rsidRPr="00887A08">
        <w:rPr>
          <w:rFonts w:cs="Arial"/>
        </w:rPr>
        <w:t xml:space="preserve">minimum accessibility standard. To what extent do you agree or disagree that the </w:t>
      </w:r>
      <w:r w:rsidR="00FC1FCB">
        <w:rPr>
          <w:rFonts w:cs="Arial"/>
        </w:rPr>
        <w:tab/>
      </w:r>
      <w:r w:rsidR="00302840" w:rsidRPr="00887A08">
        <w:rPr>
          <w:rFonts w:cs="Arial"/>
        </w:rPr>
        <w:t>LHDG are appropriate to meet the Objective?</w:t>
      </w:r>
    </w:p>
    <w:p w14:paraId="482CA189" w14:textId="73B0D578" w:rsidR="00800B80" w:rsidRDefault="00800B80" w:rsidP="00302840">
      <w:pPr>
        <w:spacing w:before="240" w:after="120"/>
        <w:rPr>
          <w:rFonts w:cs="Arial"/>
        </w:rPr>
      </w:pPr>
      <w:r>
        <w:rPr>
          <w:rFonts w:cs="Arial"/>
          <w:i/>
        </w:rPr>
        <w:tab/>
      </w:r>
      <w:r w:rsidRPr="00900AD6">
        <w:rPr>
          <w:rFonts w:cs="Arial"/>
          <w:i/>
        </w:rPr>
        <w:t xml:space="preserve">Tick one </w:t>
      </w:r>
      <w:r>
        <w:rPr>
          <w:rFonts w:cs="Arial"/>
          <w:i/>
        </w:rPr>
        <w:t xml:space="preserve">box </w:t>
      </w:r>
      <w:r w:rsidRPr="00900AD6">
        <w:rPr>
          <w:rFonts w:cs="Arial"/>
          <w:i/>
        </w:rPr>
        <w:t xml:space="preserve">in the table below, where ‘1’ means ‘strongly disagree’ and </w:t>
      </w:r>
      <w:r>
        <w:rPr>
          <w:rFonts w:cs="Arial"/>
          <w:i/>
        </w:rPr>
        <w:t>‘</w:t>
      </w:r>
      <w:r w:rsidRPr="00900AD6">
        <w:rPr>
          <w:rFonts w:cs="Arial"/>
          <w:i/>
        </w:rPr>
        <w:t>5</w:t>
      </w:r>
      <w:r>
        <w:rPr>
          <w:rFonts w:cs="Arial"/>
          <w:i/>
        </w:rPr>
        <w:t>’</w:t>
      </w:r>
      <w:r w:rsidRPr="00900AD6">
        <w:rPr>
          <w:rFonts w:cs="Arial"/>
          <w:i/>
        </w:rPr>
        <w:t xml:space="preserve"> means </w:t>
      </w:r>
      <w:r>
        <w:rPr>
          <w:rFonts w:cs="Arial"/>
          <w:i/>
        </w:rPr>
        <w:tab/>
      </w:r>
      <w:r w:rsidR="001A3148">
        <w:rPr>
          <w:rFonts w:cs="Arial"/>
          <w:i/>
        </w:rPr>
        <w:t>‘strongly agree’.</w:t>
      </w:r>
    </w:p>
    <w:tbl>
      <w:tblPr>
        <w:tblStyle w:val="TableGrid"/>
        <w:tblW w:w="9634" w:type="dxa"/>
        <w:tblLayout w:type="fixed"/>
        <w:tblLook w:val="04A0" w:firstRow="1" w:lastRow="0" w:firstColumn="1" w:lastColumn="0" w:noHBand="0" w:noVBand="1"/>
        <w:tblCaption w:val="Question 14 response table"/>
      </w:tblPr>
      <w:tblGrid>
        <w:gridCol w:w="4106"/>
        <w:gridCol w:w="1105"/>
        <w:gridCol w:w="1106"/>
        <w:gridCol w:w="1105"/>
        <w:gridCol w:w="1106"/>
        <w:gridCol w:w="1106"/>
      </w:tblGrid>
      <w:tr w:rsidR="00800B80" w:rsidRPr="00900AD6" w14:paraId="48C90DB1" w14:textId="77777777" w:rsidTr="000D3298">
        <w:trPr>
          <w:trHeight w:val="340"/>
          <w:tblHeader/>
        </w:trPr>
        <w:tc>
          <w:tcPr>
            <w:tcW w:w="4106" w:type="dxa"/>
            <w:shd w:val="clear" w:color="auto" w:fill="D9D9D9" w:themeFill="background1" w:themeFillShade="D9"/>
            <w:vAlign w:val="center"/>
          </w:tcPr>
          <w:p w14:paraId="6E712AA4" w14:textId="77777777" w:rsidR="00800B80" w:rsidRPr="00900AD6" w:rsidRDefault="00800B80" w:rsidP="00747CED">
            <w:pPr>
              <w:rPr>
                <w:rFonts w:cs="Arial"/>
                <w:b/>
              </w:rPr>
            </w:pPr>
            <w:r w:rsidRPr="00900AD6">
              <w:rPr>
                <w:rFonts w:cs="Arial"/>
                <w:b/>
              </w:rPr>
              <w:t>Statement</w:t>
            </w:r>
          </w:p>
        </w:tc>
        <w:tc>
          <w:tcPr>
            <w:tcW w:w="1105" w:type="dxa"/>
            <w:shd w:val="clear" w:color="auto" w:fill="D9D9D9" w:themeFill="background1" w:themeFillShade="D9"/>
            <w:vAlign w:val="center"/>
          </w:tcPr>
          <w:p w14:paraId="067DD629" w14:textId="77777777" w:rsidR="00800B80" w:rsidRPr="00900AD6" w:rsidRDefault="00800B80" w:rsidP="00747CED">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248D8AAF" w14:textId="77777777" w:rsidR="00800B80" w:rsidRPr="00900AD6" w:rsidRDefault="00800B80" w:rsidP="00747CED">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650E205B" w14:textId="77777777" w:rsidR="00800B80" w:rsidRPr="00900AD6" w:rsidRDefault="00800B80" w:rsidP="00747CED">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69FC3985" w14:textId="77777777" w:rsidR="00800B80" w:rsidRPr="00900AD6" w:rsidRDefault="00800B80" w:rsidP="00747CED">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0C3783D4" w14:textId="77777777" w:rsidR="00800B80" w:rsidRPr="00900AD6" w:rsidRDefault="00800B80" w:rsidP="00747CED">
            <w:pPr>
              <w:jc w:val="center"/>
              <w:rPr>
                <w:rFonts w:cs="Arial"/>
                <w:b/>
                <w:sz w:val="20"/>
                <w:szCs w:val="20"/>
              </w:rPr>
            </w:pPr>
            <w:r w:rsidRPr="00900AD6">
              <w:rPr>
                <w:rFonts w:cs="Arial"/>
                <w:b/>
                <w:sz w:val="20"/>
                <w:szCs w:val="20"/>
              </w:rPr>
              <w:t>5</w:t>
            </w:r>
          </w:p>
        </w:tc>
      </w:tr>
      <w:tr w:rsidR="00800B80" w:rsidRPr="00887A08" w14:paraId="41BE1E96" w14:textId="77777777" w:rsidTr="00747CED">
        <w:trPr>
          <w:trHeight w:val="624"/>
        </w:trPr>
        <w:tc>
          <w:tcPr>
            <w:tcW w:w="4106" w:type="dxa"/>
            <w:vAlign w:val="center"/>
          </w:tcPr>
          <w:p w14:paraId="641F298C" w14:textId="28CEE75F" w:rsidR="00800B80" w:rsidRPr="00887A08" w:rsidRDefault="00800B80" w:rsidP="00800B80">
            <w:pPr>
              <w:jc w:val="left"/>
              <w:rPr>
                <w:rFonts w:cs="Arial"/>
              </w:rPr>
            </w:pPr>
            <w:r w:rsidRPr="00887A08">
              <w:rPr>
                <w:rFonts w:cs="Arial"/>
              </w:rPr>
              <w:t>Th</w:t>
            </w:r>
            <w:r>
              <w:rPr>
                <w:rFonts w:cs="Arial"/>
              </w:rPr>
              <w:t>e LHDG are appropriate to meet the Objective.</w:t>
            </w:r>
          </w:p>
        </w:tc>
        <w:tc>
          <w:tcPr>
            <w:tcW w:w="1105" w:type="dxa"/>
            <w:vAlign w:val="center"/>
          </w:tcPr>
          <w:p w14:paraId="1A89CF6E" w14:textId="77777777" w:rsidR="00800B80" w:rsidRPr="00887A08" w:rsidRDefault="00FE3C57" w:rsidP="00747CED">
            <w:pPr>
              <w:rPr>
                <w:rFonts w:cs="Arial"/>
              </w:rPr>
            </w:pPr>
            <w:sdt>
              <w:sdtPr>
                <w:rPr>
                  <w:rFonts w:cs="Arial"/>
                </w:rPr>
                <w:id w:val="-1128628287"/>
                <w14:checkbox>
                  <w14:checked w14:val="0"/>
                  <w14:checkedState w14:val="2612" w14:font="MS Gothic"/>
                  <w14:uncheckedState w14:val="2610" w14:font="MS Gothic"/>
                </w14:checkbox>
              </w:sdtPr>
              <w:sdtEndPr/>
              <w:sdtContent>
                <w:r w:rsidR="00800B80">
                  <w:rPr>
                    <w:rFonts w:ascii="MS Gothic" w:eastAsia="MS Gothic" w:hAnsi="MS Gothic" w:cs="Arial" w:hint="eastAsia"/>
                  </w:rPr>
                  <w:t>☐</w:t>
                </w:r>
              </w:sdtContent>
            </w:sdt>
          </w:p>
        </w:tc>
        <w:tc>
          <w:tcPr>
            <w:tcW w:w="1106" w:type="dxa"/>
            <w:vAlign w:val="center"/>
          </w:tcPr>
          <w:p w14:paraId="33E77432" w14:textId="77777777" w:rsidR="00800B80" w:rsidRPr="00887A08" w:rsidRDefault="00FE3C57" w:rsidP="00747CED">
            <w:pPr>
              <w:rPr>
                <w:rFonts w:cs="Arial"/>
              </w:rPr>
            </w:pPr>
            <w:sdt>
              <w:sdtPr>
                <w:rPr>
                  <w:rFonts w:cs="Arial"/>
                </w:rPr>
                <w:id w:val="2046181523"/>
                <w14:checkbox>
                  <w14:checked w14:val="0"/>
                  <w14:checkedState w14:val="2612" w14:font="MS Gothic"/>
                  <w14:uncheckedState w14:val="2610" w14:font="MS Gothic"/>
                </w14:checkbox>
              </w:sdtPr>
              <w:sdtEndPr/>
              <w:sdtContent>
                <w:r w:rsidR="00800B80">
                  <w:rPr>
                    <w:rFonts w:ascii="MS Gothic" w:eastAsia="MS Gothic" w:hAnsi="MS Gothic" w:cs="Arial" w:hint="eastAsia"/>
                  </w:rPr>
                  <w:t>☐</w:t>
                </w:r>
              </w:sdtContent>
            </w:sdt>
          </w:p>
        </w:tc>
        <w:tc>
          <w:tcPr>
            <w:tcW w:w="1105" w:type="dxa"/>
            <w:vAlign w:val="center"/>
          </w:tcPr>
          <w:p w14:paraId="516175B5" w14:textId="77777777" w:rsidR="00800B80" w:rsidRPr="00887A08" w:rsidRDefault="00FE3C57" w:rsidP="00747CED">
            <w:pPr>
              <w:rPr>
                <w:rFonts w:cs="Arial"/>
              </w:rPr>
            </w:pPr>
            <w:sdt>
              <w:sdtPr>
                <w:rPr>
                  <w:rFonts w:cs="Arial"/>
                </w:rPr>
                <w:id w:val="-1972662784"/>
                <w14:checkbox>
                  <w14:checked w14:val="0"/>
                  <w14:checkedState w14:val="2612" w14:font="MS Gothic"/>
                  <w14:uncheckedState w14:val="2610" w14:font="MS Gothic"/>
                </w14:checkbox>
              </w:sdtPr>
              <w:sdtEndPr/>
              <w:sdtContent>
                <w:r w:rsidR="00800B80">
                  <w:rPr>
                    <w:rFonts w:ascii="MS Gothic" w:eastAsia="MS Gothic" w:hAnsi="MS Gothic" w:cs="Arial" w:hint="eastAsia"/>
                  </w:rPr>
                  <w:t>☐</w:t>
                </w:r>
              </w:sdtContent>
            </w:sdt>
          </w:p>
        </w:tc>
        <w:tc>
          <w:tcPr>
            <w:tcW w:w="1106" w:type="dxa"/>
            <w:vAlign w:val="center"/>
          </w:tcPr>
          <w:p w14:paraId="22ED8EE7" w14:textId="77777777" w:rsidR="00800B80" w:rsidRPr="00887A08" w:rsidRDefault="00FE3C57" w:rsidP="00747CED">
            <w:pPr>
              <w:rPr>
                <w:rFonts w:cs="Arial"/>
              </w:rPr>
            </w:pPr>
            <w:sdt>
              <w:sdtPr>
                <w:rPr>
                  <w:rFonts w:cs="Arial"/>
                </w:rPr>
                <w:id w:val="-28176519"/>
                <w14:checkbox>
                  <w14:checked w14:val="0"/>
                  <w14:checkedState w14:val="2612" w14:font="MS Gothic"/>
                  <w14:uncheckedState w14:val="2610" w14:font="MS Gothic"/>
                </w14:checkbox>
              </w:sdtPr>
              <w:sdtEndPr/>
              <w:sdtContent>
                <w:r w:rsidR="00800B80">
                  <w:rPr>
                    <w:rFonts w:ascii="MS Gothic" w:eastAsia="MS Gothic" w:hAnsi="MS Gothic" w:cs="Arial" w:hint="eastAsia"/>
                  </w:rPr>
                  <w:t>☐</w:t>
                </w:r>
              </w:sdtContent>
            </w:sdt>
          </w:p>
        </w:tc>
        <w:tc>
          <w:tcPr>
            <w:tcW w:w="1106" w:type="dxa"/>
            <w:vAlign w:val="center"/>
          </w:tcPr>
          <w:p w14:paraId="0E8FE7D9" w14:textId="77777777" w:rsidR="00800B80" w:rsidRPr="00887A08" w:rsidRDefault="00FE3C57" w:rsidP="00747CED">
            <w:pPr>
              <w:rPr>
                <w:rFonts w:cs="Arial"/>
              </w:rPr>
            </w:pPr>
            <w:sdt>
              <w:sdtPr>
                <w:rPr>
                  <w:rFonts w:cs="Arial"/>
                </w:rPr>
                <w:id w:val="-714817284"/>
                <w14:checkbox>
                  <w14:checked w14:val="0"/>
                  <w14:checkedState w14:val="2612" w14:font="MS Gothic"/>
                  <w14:uncheckedState w14:val="2610" w14:font="MS Gothic"/>
                </w14:checkbox>
              </w:sdtPr>
              <w:sdtEndPr/>
              <w:sdtContent>
                <w:r w:rsidR="00800B80">
                  <w:rPr>
                    <w:rFonts w:ascii="MS Gothic" w:eastAsia="MS Gothic" w:hAnsi="MS Gothic" w:cs="Arial" w:hint="eastAsia"/>
                  </w:rPr>
                  <w:t>☐</w:t>
                </w:r>
              </w:sdtContent>
            </w:sdt>
          </w:p>
        </w:tc>
      </w:tr>
    </w:tbl>
    <w:p w14:paraId="29EB9BE8" w14:textId="77777777" w:rsidR="00800B80" w:rsidRPr="00887A08" w:rsidRDefault="00800B80" w:rsidP="00800B80">
      <w:pPr>
        <w:pBdr>
          <w:bottom w:val="single" w:sz="4" w:space="1" w:color="auto"/>
        </w:pBdr>
        <w:spacing w:before="240" w:after="120"/>
        <w:rPr>
          <w:rFonts w:cs="Arial"/>
        </w:rPr>
      </w:pPr>
    </w:p>
    <w:p w14:paraId="586FBDF9" w14:textId="2ECF08D0" w:rsidR="00302840" w:rsidRDefault="00800B80" w:rsidP="00302840">
      <w:pPr>
        <w:spacing w:before="240" w:after="120"/>
        <w:rPr>
          <w:rFonts w:cs="Arial"/>
        </w:rPr>
      </w:pPr>
      <w:r>
        <w:rPr>
          <w:rFonts w:cs="Arial"/>
        </w:rPr>
        <w:t>15.</w:t>
      </w:r>
      <w:r>
        <w:rPr>
          <w:rFonts w:cs="Arial"/>
        </w:rPr>
        <w:tab/>
      </w:r>
      <w:r w:rsidR="00302840" w:rsidRPr="00887A08">
        <w:rPr>
          <w:rFonts w:cs="Arial"/>
        </w:rPr>
        <w:t xml:space="preserve">What other options might meet the Objective more effectively or efficiently? </w:t>
      </w:r>
    </w:p>
    <w:p w14:paraId="51D7E79A" w14:textId="48077E78" w:rsidR="00302840" w:rsidRPr="00887A08" w:rsidRDefault="00800B80" w:rsidP="00800B80">
      <w:pPr>
        <w:pBdr>
          <w:bottom w:val="single" w:sz="4" w:space="1" w:color="auto"/>
        </w:pBdr>
        <w:spacing w:before="240" w:after="120"/>
        <w:rPr>
          <w:rFonts w:cs="Arial"/>
        </w:rPr>
      </w:pPr>
      <w:r>
        <w:rPr>
          <w:rFonts w:cs="Arial"/>
        </w:rPr>
        <w:tab/>
      </w:r>
      <w:sdt>
        <w:sdtPr>
          <w:rPr>
            <w:rFonts w:cs="Arial"/>
          </w:rPr>
          <w:id w:val="1764411013"/>
          <w:placeholder>
            <w:docPart w:val="8F081AD2593748808C0EF58434F4AF8A"/>
          </w:placeholder>
          <w:showingPlcHdr/>
          <w:text/>
        </w:sdtPr>
        <w:sdtEndPr/>
        <w:sdtContent>
          <w:r w:rsidRPr="004D55AA">
            <w:rPr>
              <w:rStyle w:val="PlaceholderText"/>
              <w:rFonts w:cs="Arial"/>
              <w:i/>
            </w:rPr>
            <w:t>Click here to enter text.</w:t>
          </w:r>
        </w:sdtContent>
      </w:sdt>
    </w:p>
    <w:p w14:paraId="62DCD93B" w14:textId="22B12878" w:rsidR="00302840" w:rsidRDefault="00800B80" w:rsidP="00302840">
      <w:pPr>
        <w:spacing w:before="240" w:after="120"/>
        <w:rPr>
          <w:rFonts w:cs="Arial"/>
        </w:rPr>
      </w:pPr>
      <w:r>
        <w:rPr>
          <w:rFonts w:cs="Arial"/>
        </w:rPr>
        <w:t>16.</w:t>
      </w:r>
      <w:r>
        <w:rPr>
          <w:rFonts w:cs="Arial"/>
        </w:rPr>
        <w:tab/>
      </w:r>
      <w:r w:rsidR="00302840" w:rsidRPr="00887A08">
        <w:rPr>
          <w:rFonts w:cs="Arial"/>
        </w:rPr>
        <w:t xml:space="preserve">To what extent do you agree or disagree that the primary focus should be on </w:t>
      </w:r>
      <w:r>
        <w:rPr>
          <w:rFonts w:cs="Arial"/>
        </w:rPr>
        <w:tab/>
      </w:r>
      <w:r w:rsidR="00302840" w:rsidRPr="00887A08">
        <w:rPr>
          <w:rFonts w:cs="Arial"/>
        </w:rPr>
        <w:t>addressing mobility-related issues?</w:t>
      </w:r>
    </w:p>
    <w:p w14:paraId="6BDA0541" w14:textId="7BB7585B" w:rsidR="00747CED" w:rsidRPr="0064120C" w:rsidRDefault="00747CED" w:rsidP="00302840">
      <w:pPr>
        <w:spacing w:before="240" w:after="120"/>
        <w:rPr>
          <w:rFonts w:cs="Arial"/>
          <w:i/>
        </w:rPr>
      </w:pPr>
      <w:r>
        <w:rPr>
          <w:rFonts w:cs="Arial"/>
        </w:rPr>
        <w:tab/>
      </w:r>
      <w:r w:rsidRPr="00900AD6">
        <w:rPr>
          <w:rFonts w:cs="Arial"/>
          <w:i/>
        </w:rPr>
        <w:t xml:space="preserve">Tick one </w:t>
      </w:r>
      <w:r>
        <w:rPr>
          <w:rFonts w:cs="Arial"/>
          <w:i/>
        </w:rPr>
        <w:t xml:space="preserve">box </w:t>
      </w:r>
      <w:r w:rsidRPr="00900AD6">
        <w:rPr>
          <w:rFonts w:cs="Arial"/>
          <w:i/>
        </w:rPr>
        <w:t xml:space="preserve">in the table below, where ‘1’ means ‘strongly disagree’ and </w:t>
      </w:r>
      <w:r>
        <w:rPr>
          <w:rFonts w:cs="Arial"/>
          <w:i/>
        </w:rPr>
        <w:t>‘</w:t>
      </w:r>
      <w:r w:rsidRPr="00900AD6">
        <w:rPr>
          <w:rFonts w:cs="Arial"/>
          <w:i/>
        </w:rPr>
        <w:t>5</w:t>
      </w:r>
      <w:r>
        <w:rPr>
          <w:rFonts w:cs="Arial"/>
          <w:i/>
        </w:rPr>
        <w:t>’</w:t>
      </w:r>
      <w:r w:rsidRPr="00900AD6">
        <w:rPr>
          <w:rFonts w:cs="Arial"/>
          <w:i/>
        </w:rPr>
        <w:t xml:space="preserve"> means </w:t>
      </w:r>
      <w:r>
        <w:rPr>
          <w:rFonts w:cs="Arial"/>
          <w:i/>
        </w:rPr>
        <w:tab/>
      </w:r>
      <w:r w:rsidR="001A3148">
        <w:rPr>
          <w:rFonts w:cs="Arial"/>
          <w:i/>
        </w:rPr>
        <w:t>‘strongly agree’.</w:t>
      </w:r>
    </w:p>
    <w:tbl>
      <w:tblPr>
        <w:tblStyle w:val="TableGrid"/>
        <w:tblW w:w="9634" w:type="dxa"/>
        <w:tblLayout w:type="fixed"/>
        <w:tblLook w:val="04A0" w:firstRow="1" w:lastRow="0" w:firstColumn="1" w:lastColumn="0" w:noHBand="0" w:noVBand="1"/>
        <w:tblCaption w:val="Question 16 response table "/>
      </w:tblPr>
      <w:tblGrid>
        <w:gridCol w:w="4106"/>
        <w:gridCol w:w="1105"/>
        <w:gridCol w:w="1106"/>
        <w:gridCol w:w="1105"/>
        <w:gridCol w:w="1106"/>
        <w:gridCol w:w="1106"/>
      </w:tblGrid>
      <w:tr w:rsidR="00FD0552" w:rsidRPr="00900AD6" w14:paraId="412D13A1" w14:textId="77777777" w:rsidTr="000D3298">
        <w:trPr>
          <w:trHeight w:val="340"/>
          <w:tblHeader/>
        </w:trPr>
        <w:tc>
          <w:tcPr>
            <w:tcW w:w="4106" w:type="dxa"/>
            <w:shd w:val="clear" w:color="auto" w:fill="D9D9D9" w:themeFill="background1" w:themeFillShade="D9"/>
            <w:vAlign w:val="center"/>
          </w:tcPr>
          <w:p w14:paraId="71AB2FA9" w14:textId="77777777" w:rsidR="00FD0552" w:rsidRPr="00900AD6" w:rsidRDefault="00FD0552" w:rsidP="00747CED">
            <w:pPr>
              <w:rPr>
                <w:rFonts w:cs="Arial"/>
                <w:b/>
              </w:rPr>
            </w:pPr>
            <w:r w:rsidRPr="00900AD6">
              <w:rPr>
                <w:rFonts w:cs="Arial"/>
                <w:b/>
              </w:rPr>
              <w:t>Statement</w:t>
            </w:r>
          </w:p>
        </w:tc>
        <w:tc>
          <w:tcPr>
            <w:tcW w:w="1105" w:type="dxa"/>
            <w:shd w:val="clear" w:color="auto" w:fill="D9D9D9" w:themeFill="background1" w:themeFillShade="D9"/>
            <w:vAlign w:val="center"/>
          </w:tcPr>
          <w:p w14:paraId="4F50487A" w14:textId="77777777" w:rsidR="00FD0552" w:rsidRPr="00900AD6" w:rsidRDefault="00FD0552" w:rsidP="00747CED">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55F94151" w14:textId="77777777" w:rsidR="00FD0552" w:rsidRPr="00900AD6" w:rsidRDefault="00FD0552" w:rsidP="00747CED">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564BA7D3" w14:textId="77777777" w:rsidR="00FD0552" w:rsidRPr="00900AD6" w:rsidRDefault="00FD0552" w:rsidP="00747CED">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2F723CF8" w14:textId="77777777" w:rsidR="00FD0552" w:rsidRPr="00900AD6" w:rsidRDefault="00FD0552" w:rsidP="00747CED">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4C99BE79" w14:textId="77777777" w:rsidR="00FD0552" w:rsidRPr="00900AD6" w:rsidRDefault="00FD0552" w:rsidP="00747CED">
            <w:pPr>
              <w:jc w:val="center"/>
              <w:rPr>
                <w:rFonts w:cs="Arial"/>
                <w:b/>
                <w:sz w:val="20"/>
                <w:szCs w:val="20"/>
              </w:rPr>
            </w:pPr>
            <w:r w:rsidRPr="00900AD6">
              <w:rPr>
                <w:rFonts w:cs="Arial"/>
                <w:b/>
                <w:sz w:val="20"/>
                <w:szCs w:val="20"/>
              </w:rPr>
              <w:t>5</w:t>
            </w:r>
          </w:p>
        </w:tc>
      </w:tr>
      <w:tr w:rsidR="00FD0552" w:rsidRPr="00887A08" w14:paraId="7762E234" w14:textId="77777777" w:rsidTr="00747CED">
        <w:trPr>
          <w:trHeight w:val="624"/>
        </w:trPr>
        <w:tc>
          <w:tcPr>
            <w:tcW w:w="4106" w:type="dxa"/>
            <w:vAlign w:val="center"/>
          </w:tcPr>
          <w:p w14:paraId="7956E200" w14:textId="72BFD7A2" w:rsidR="00FD0552" w:rsidRPr="00887A08" w:rsidRDefault="00FD0552" w:rsidP="00747CED">
            <w:pPr>
              <w:jc w:val="left"/>
              <w:rPr>
                <w:rFonts w:cs="Arial"/>
              </w:rPr>
            </w:pPr>
            <w:r>
              <w:rPr>
                <w:rFonts w:cs="Arial"/>
              </w:rPr>
              <w:t>The primary focus should be on addressing mobility-related issues.</w:t>
            </w:r>
          </w:p>
        </w:tc>
        <w:tc>
          <w:tcPr>
            <w:tcW w:w="1105" w:type="dxa"/>
            <w:vAlign w:val="center"/>
          </w:tcPr>
          <w:p w14:paraId="15290407" w14:textId="77777777" w:rsidR="00FD0552" w:rsidRPr="00887A08" w:rsidRDefault="00FE3C57" w:rsidP="00747CED">
            <w:pPr>
              <w:rPr>
                <w:rFonts w:cs="Arial"/>
              </w:rPr>
            </w:pPr>
            <w:sdt>
              <w:sdtPr>
                <w:rPr>
                  <w:rFonts w:cs="Arial"/>
                </w:rPr>
                <w:id w:val="1817828528"/>
                <w14:checkbox>
                  <w14:checked w14:val="0"/>
                  <w14:checkedState w14:val="2612" w14:font="MS Gothic"/>
                  <w14:uncheckedState w14:val="2610" w14:font="MS Gothic"/>
                </w14:checkbox>
              </w:sdtPr>
              <w:sdtEndPr/>
              <w:sdtContent>
                <w:r w:rsidR="00FD0552">
                  <w:rPr>
                    <w:rFonts w:ascii="MS Gothic" w:eastAsia="MS Gothic" w:hAnsi="MS Gothic" w:cs="Arial" w:hint="eastAsia"/>
                  </w:rPr>
                  <w:t>☐</w:t>
                </w:r>
              </w:sdtContent>
            </w:sdt>
          </w:p>
        </w:tc>
        <w:tc>
          <w:tcPr>
            <w:tcW w:w="1106" w:type="dxa"/>
            <w:vAlign w:val="center"/>
          </w:tcPr>
          <w:p w14:paraId="618C34EB" w14:textId="77777777" w:rsidR="00FD0552" w:rsidRPr="00887A08" w:rsidRDefault="00FE3C57" w:rsidP="00747CED">
            <w:pPr>
              <w:rPr>
                <w:rFonts w:cs="Arial"/>
              </w:rPr>
            </w:pPr>
            <w:sdt>
              <w:sdtPr>
                <w:rPr>
                  <w:rFonts w:cs="Arial"/>
                </w:rPr>
                <w:id w:val="-1406059643"/>
                <w14:checkbox>
                  <w14:checked w14:val="0"/>
                  <w14:checkedState w14:val="2612" w14:font="MS Gothic"/>
                  <w14:uncheckedState w14:val="2610" w14:font="MS Gothic"/>
                </w14:checkbox>
              </w:sdtPr>
              <w:sdtEndPr/>
              <w:sdtContent>
                <w:r w:rsidR="00FD0552">
                  <w:rPr>
                    <w:rFonts w:ascii="MS Gothic" w:eastAsia="MS Gothic" w:hAnsi="MS Gothic" w:cs="Arial" w:hint="eastAsia"/>
                  </w:rPr>
                  <w:t>☐</w:t>
                </w:r>
              </w:sdtContent>
            </w:sdt>
          </w:p>
        </w:tc>
        <w:tc>
          <w:tcPr>
            <w:tcW w:w="1105" w:type="dxa"/>
            <w:vAlign w:val="center"/>
          </w:tcPr>
          <w:p w14:paraId="5AD6F3EF" w14:textId="77777777" w:rsidR="00FD0552" w:rsidRPr="00887A08" w:rsidRDefault="00FE3C57" w:rsidP="00747CED">
            <w:pPr>
              <w:rPr>
                <w:rFonts w:cs="Arial"/>
              </w:rPr>
            </w:pPr>
            <w:sdt>
              <w:sdtPr>
                <w:rPr>
                  <w:rFonts w:cs="Arial"/>
                </w:rPr>
                <w:id w:val="-1642423661"/>
                <w14:checkbox>
                  <w14:checked w14:val="0"/>
                  <w14:checkedState w14:val="2612" w14:font="MS Gothic"/>
                  <w14:uncheckedState w14:val="2610" w14:font="MS Gothic"/>
                </w14:checkbox>
              </w:sdtPr>
              <w:sdtEndPr/>
              <w:sdtContent>
                <w:r w:rsidR="00FD0552">
                  <w:rPr>
                    <w:rFonts w:ascii="MS Gothic" w:eastAsia="MS Gothic" w:hAnsi="MS Gothic" w:cs="Arial" w:hint="eastAsia"/>
                  </w:rPr>
                  <w:t>☐</w:t>
                </w:r>
              </w:sdtContent>
            </w:sdt>
          </w:p>
        </w:tc>
        <w:tc>
          <w:tcPr>
            <w:tcW w:w="1106" w:type="dxa"/>
            <w:vAlign w:val="center"/>
          </w:tcPr>
          <w:p w14:paraId="03590C7E" w14:textId="77777777" w:rsidR="00FD0552" w:rsidRPr="00887A08" w:rsidRDefault="00FE3C57" w:rsidP="00747CED">
            <w:pPr>
              <w:rPr>
                <w:rFonts w:cs="Arial"/>
              </w:rPr>
            </w:pPr>
            <w:sdt>
              <w:sdtPr>
                <w:rPr>
                  <w:rFonts w:cs="Arial"/>
                </w:rPr>
                <w:id w:val="1603062641"/>
                <w14:checkbox>
                  <w14:checked w14:val="0"/>
                  <w14:checkedState w14:val="2612" w14:font="MS Gothic"/>
                  <w14:uncheckedState w14:val="2610" w14:font="MS Gothic"/>
                </w14:checkbox>
              </w:sdtPr>
              <w:sdtEndPr/>
              <w:sdtContent>
                <w:r w:rsidR="00FD0552">
                  <w:rPr>
                    <w:rFonts w:ascii="MS Gothic" w:eastAsia="MS Gothic" w:hAnsi="MS Gothic" w:cs="Arial" w:hint="eastAsia"/>
                  </w:rPr>
                  <w:t>☐</w:t>
                </w:r>
              </w:sdtContent>
            </w:sdt>
          </w:p>
        </w:tc>
        <w:tc>
          <w:tcPr>
            <w:tcW w:w="1106" w:type="dxa"/>
            <w:vAlign w:val="center"/>
          </w:tcPr>
          <w:p w14:paraId="0A40EA22" w14:textId="77777777" w:rsidR="00FD0552" w:rsidRPr="00887A08" w:rsidRDefault="00FE3C57" w:rsidP="00747CED">
            <w:pPr>
              <w:rPr>
                <w:rFonts w:cs="Arial"/>
              </w:rPr>
            </w:pPr>
            <w:sdt>
              <w:sdtPr>
                <w:rPr>
                  <w:rFonts w:cs="Arial"/>
                </w:rPr>
                <w:id w:val="435641378"/>
                <w14:checkbox>
                  <w14:checked w14:val="0"/>
                  <w14:checkedState w14:val="2612" w14:font="MS Gothic"/>
                  <w14:uncheckedState w14:val="2610" w14:font="MS Gothic"/>
                </w14:checkbox>
              </w:sdtPr>
              <w:sdtEndPr/>
              <w:sdtContent>
                <w:r w:rsidR="00FD0552">
                  <w:rPr>
                    <w:rFonts w:ascii="MS Gothic" w:eastAsia="MS Gothic" w:hAnsi="MS Gothic" w:cs="Arial" w:hint="eastAsia"/>
                  </w:rPr>
                  <w:t>☐</w:t>
                </w:r>
              </w:sdtContent>
            </w:sdt>
          </w:p>
        </w:tc>
      </w:tr>
    </w:tbl>
    <w:p w14:paraId="6E94D70C" w14:textId="77777777" w:rsidR="00747CED" w:rsidRDefault="00747CED" w:rsidP="00747CED">
      <w:pPr>
        <w:pBdr>
          <w:bottom w:val="single" w:sz="4" w:space="1" w:color="auto"/>
        </w:pBdr>
        <w:spacing w:before="240" w:after="120"/>
        <w:rPr>
          <w:rFonts w:cs="Arial"/>
        </w:rPr>
      </w:pPr>
    </w:p>
    <w:p w14:paraId="5D44FBA9" w14:textId="72037716" w:rsidR="00302840" w:rsidRPr="00887A08" w:rsidRDefault="00FD0552" w:rsidP="00302840">
      <w:pPr>
        <w:spacing w:before="240" w:after="120"/>
        <w:rPr>
          <w:rFonts w:cs="Arial"/>
        </w:rPr>
      </w:pPr>
      <w:r>
        <w:rPr>
          <w:rFonts w:cs="Arial"/>
        </w:rPr>
        <w:t>17.</w:t>
      </w:r>
      <w:r>
        <w:rPr>
          <w:rFonts w:cs="Arial"/>
        </w:rPr>
        <w:tab/>
      </w:r>
      <w:r w:rsidR="00302840" w:rsidRPr="00887A08">
        <w:rPr>
          <w:rFonts w:cs="Arial"/>
        </w:rPr>
        <w:t>What issues other than mobility sh</w:t>
      </w:r>
      <w:r>
        <w:rPr>
          <w:rFonts w:cs="Arial"/>
        </w:rPr>
        <w:t xml:space="preserve">ould be in-scope (if any)? </w:t>
      </w:r>
    </w:p>
    <w:p w14:paraId="3A777137" w14:textId="14BBBE0B" w:rsidR="00302840" w:rsidRDefault="00FD0552" w:rsidP="00FD0552">
      <w:pPr>
        <w:pBdr>
          <w:bottom w:val="single" w:sz="4" w:space="1" w:color="auto"/>
        </w:pBdr>
        <w:rPr>
          <w:rFonts w:cs="Arial"/>
          <w:b/>
        </w:rPr>
      </w:pPr>
      <w:r>
        <w:rPr>
          <w:rFonts w:cs="Arial"/>
        </w:rPr>
        <w:tab/>
      </w:r>
      <w:sdt>
        <w:sdtPr>
          <w:rPr>
            <w:rFonts w:cs="Arial"/>
          </w:rPr>
          <w:id w:val="1354238038"/>
          <w:placeholder>
            <w:docPart w:val="3A859AFFA25D449A8D644CDE6A33F721"/>
          </w:placeholder>
          <w:showingPlcHdr/>
          <w:text/>
        </w:sdtPr>
        <w:sdtEndPr/>
        <w:sdtContent>
          <w:r w:rsidRPr="004D55AA">
            <w:rPr>
              <w:rStyle w:val="PlaceholderText"/>
              <w:rFonts w:cs="Arial"/>
              <w:i/>
            </w:rPr>
            <w:t>Click here to enter text.</w:t>
          </w:r>
        </w:sdtContent>
      </w:sdt>
      <w:r>
        <w:rPr>
          <w:rFonts w:cs="Arial"/>
          <w:b/>
        </w:rPr>
        <w:t xml:space="preserve"> </w:t>
      </w:r>
    </w:p>
    <w:p w14:paraId="478105D6" w14:textId="77777777" w:rsidR="003937A8" w:rsidRDefault="003937A8" w:rsidP="00FD0552">
      <w:pPr>
        <w:pBdr>
          <w:bottom w:val="single" w:sz="4" w:space="1" w:color="auto"/>
        </w:pBdr>
        <w:rPr>
          <w:rFonts w:cs="Arial"/>
          <w:b/>
        </w:rPr>
      </w:pPr>
    </w:p>
    <w:p w14:paraId="01766266" w14:textId="1FFA83F3" w:rsidR="00FD0552" w:rsidRDefault="00FD0552" w:rsidP="00FD0552">
      <w:pPr>
        <w:pStyle w:val="Heading2"/>
      </w:pPr>
      <w:r>
        <w:t>Question</w:t>
      </w:r>
      <w:r w:rsidR="006C1E6E">
        <w:t>s</w:t>
      </w:r>
      <w:r>
        <w:t xml:space="preserve"> about the Options</w:t>
      </w:r>
    </w:p>
    <w:p w14:paraId="69EDBA1A" w14:textId="79A9A1DD" w:rsidR="00FD0552" w:rsidRDefault="00FD0552" w:rsidP="00FD0552">
      <w:r>
        <w:t xml:space="preserve">Note: some possible options for an accessibility standard for housing are discussed </w:t>
      </w:r>
      <w:r w:rsidR="001A3148">
        <w:t>in the section titled ‘</w:t>
      </w:r>
      <w:r w:rsidR="001A3148">
        <w:rPr>
          <w:b/>
        </w:rPr>
        <w:t>Possible Options for NCC Amendment</w:t>
      </w:r>
      <w:r w:rsidR="001A3148">
        <w:t>’.</w:t>
      </w:r>
    </w:p>
    <w:p w14:paraId="766C155E" w14:textId="02A66CEB" w:rsidR="00302840" w:rsidRDefault="006C1E6E" w:rsidP="00302840">
      <w:pPr>
        <w:spacing w:before="240" w:after="120"/>
        <w:rPr>
          <w:rFonts w:cs="Arial"/>
        </w:rPr>
      </w:pPr>
      <w:r>
        <w:rPr>
          <w:rFonts w:cs="Arial"/>
        </w:rPr>
        <w:t>18.</w:t>
      </w:r>
      <w:r>
        <w:rPr>
          <w:rFonts w:cs="Arial"/>
        </w:rPr>
        <w:tab/>
      </w:r>
      <w:r w:rsidR="00302840" w:rsidRPr="00887A08">
        <w:rPr>
          <w:rFonts w:cs="Arial"/>
        </w:rPr>
        <w:t xml:space="preserve">The Options Paper described three possible options for National Construction Code </w:t>
      </w:r>
      <w:r>
        <w:rPr>
          <w:rFonts w:cs="Arial"/>
        </w:rPr>
        <w:tab/>
      </w:r>
      <w:r w:rsidR="00302840" w:rsidRPr="00887A08">
        <w:rPr>
          <w:rFonts w:cs="Arial"/>
        </w:rPr>
        <w:t xml:space="preserve">(NCC) amendment. Which of these, if any, is your preferred option as a minimum </w:t>
      </w:r>
      <w:r>
        <w:rPr>
          <w:rFonts w:cs="Arial"/>
        </w:rPr>
        <w:tab/>
      </w:r>
      <w:r w:rsidR="00302840" w:rsidRPr="00887A08">
        <w:rPr>
          <w:rFonts w:cs="Arial"/>
        </w:rPr>
        <w:t>standard for new residential housing</w:t>
      </w:r>
      <w:r>
        <w:rPr>
          <w:rFonts w:cs="Arial"/>
        </w:rPr>
        <w:t xml:space="preserve"> (tick one as appropriate)</w:t>
      </w:r>
      <w:r w:rsidR="00302840" w:rsidRPr="00887A08">
        <w:rPr>
          <w:rFonts w:cs="Arial"/>
        </w:rPr>
        <w:t>?</w:t>
      </w:r>
    </w:p>
    <w:p w14:paraId="231908FF" w14:textId="36A728E9" w:rsidR="006C1E6E" w:rsidRDefault="006C1E6E" w:rsidP="006C1E6E">
      <w:pPr>
        <w:spacing w:before="240" w:after="120"/>
        <w:rPr>
          <w:rFonts w:cs="Arial"/>
        </w:rPr>
      </w:pPr>
      <w:r>
        <w:rPr>
          <w:rFonts w:cs="Arial"/>
        </w:rPr>
        <w:tab/>
      </w:r>
      <w:sdt>
        <w:sdtPr>
          <w:rPr>
            <w:rFonts w:cs="Arial"/>
          </w:rPr>
          <w:id w:val="12340375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6C1E6E">
        <w:rPr>
          <w:rFonts w:cs="Arial"/>
        </w:rPr>
        <w:t>Option 1 –</w:t>
      </w:r>
      <w:r>
        <w:rPr>
          <w:rFonts w:cs="Arial"/>
        </w:rPr>
        <w:t xml:space="preserve"> LHDG Silver Level (5 Elements)</w:t>
      </w:r>
    </w:p>
    <w:p w14:paraId="1DEF0ADA" w14:textId="4650551C" w:rsidR="006C1E6E" w:rsidRDefault="006C1E6E" w:rsidP="006C1E6E">
      <w:pPr>
        <w:spacing w:before="240" w:after="120"/>
        <w:rPr>
          <w:rFonts w:cs="Arial"/>
        </w:rPr>
      </w:pPr>
      <w:r>
        <w:rPr>
          <w:rFonts w:cs="Arial"/>
        </w:rPr>
        <w:tab/>
      </w:r>
      <w:sdt>
        <w:sdtPr>
          <w:rPr>
            <w:rFonts w:cs="Arial"/>
          </w:rPr>
          <w:id w:val="-747803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887A08">
        <w:rPr>
          <w:rFonts w:cs="Arial"/>
        </w:rPr>
        <w:t>Option 2 –</w:t>
      </w:r>
      <w:r>
        <w:rPr>
          <w:rFonts w:cs="Arial"/>
        </w:rPr>
        <w:t xml:space="preserve"> LHDG Silver Level (7 Elements)</w:t>
      </w:r>
    </w:p>
    <w:p w14:paraId="61F67223" w14:textId="2B69EC99" w:rsidR="006C1E6E" w:rsidRDefault="006C1E6E" w:rsidP="006C1E6E">
      <w:pPr>
        <w:spacing w:before="240" w:after="120"/>
        <w:rPr>
          <w:rFonts w:cs="Arial"/>
        </w:rPr>
      </w:pPr>
      <w:r>
        <w:rPr>
          <w:rFonts w:cs="Arial"/>
        </w:rPr>
        <w:tab/>
      </w:r>
      <w:sdt>
        <w:sdtPr>
          <w:rPr>
            <w:rFonts w:cs="Arial"/>
          </w:rPr>
          <w:id w:val="-1834137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Option 3</w:t>
      </w:r>
      <w:r w:rsidRPr="00887A08">
        <w:rPr>
          <w:rFonts w:cs="Arial"/>
        </w:rPr>
        <w:t xml:space="preserve"> –</w:t>
      </w:r>
      <w:r>
        <w:rPr>
          <w:rFonts w:cs="Arial"/>
        </w:rPr>
        <w:t xml:space="preserve"> LHDG Gold Level (12 Elements)</w:t>
      </w:r>
    </w:p>
    <w:p w14:paraId="5C6CE76D" w14:textId="107FA0C5" w:rsidR="006C1E6E" w:rsidRDefault="006C1E6E" w:rsidP="006C1E6E">
      <w:pPr>
        <w:spacing w:before="240" w:after="120"/>
        <w:rPr>
          <w:rFonts w:cs="Arial"/>
        </w:rPr>
      </w:pPr>
      <w:r>
        <w:rPr>
          <w:rFonts w:cs="Arial"/>
        </w:rPr>
        <w:tab/>
      </w:r>
      <w:sdt>
        <w:sdtPr>
          <w:rPr>
            <w:rFonts w:cs="Arial"/>
          </w:rPr>
          <w:id w:val="1057814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Other (please specify): </w:t>
      </w:r>
      <w:sdt>
        <w:sdtPr>
          <w:rPr>
            <w:rFonts w:cs="Arial"/>
          </w:rPr>
          <w:id w:val="690412930"/>
          <w:placeholder>
            <w:docPart w:val="19C0269D9D1146AD86F49A6827905EDB"/>
          </w:placeholder>
          <w:showingPlcHdr/>
          <w:text/>
        </w:sdtPr>
        <w:sdtEndPr/>
        <w:sdtContent>
          <w:r w:rsidRPr="004D55AA">
            <w:rPr>
              <w:rStyle w:val="PlaceholderText"/>
              <w:rFonts w:cs="Arial"/>
              <w:i/>
            </w:rPr>
            <w:t>Click here to enter text.</w:t>
          </w:r>
        </w:sdtContent>
      </w:sdt>
    </w:p>
    <w:p w14:paraId="12DDE585" w14:textId="5F424DC8" w:rsidR="006C1E6E" w:rsidRDefault="006C1E6E" w:rsidP="006C1E6E">
      <w:pPr>
        <w:pBdr>
          <w:bottom w:val="single" w:sz="4" w:space="1" w:color="auto"/>
        </w:pBdr>
        <w:spacing w:before="240" w:after="120"/>
        <w:rPr>
          <w:rFonts w:cs="Arial"/>
        </w:rPr>
      </w:pPr>
      <w:r>
        <w:rPr>
          <w:rFonts w:cs="Arial"/>
        </w:rPr>
        <w:tab/>
      </w:r>
      <w:sdt>
        <w:sdtPr>
          <w:rPr>
            <w:rFonts w:cs="Arial"/>
          </w:rPr>
          <w:id w:val="1937012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change to the NCC</w:t>
      </w:r>
    </w:p>
    <w:p w14:paraId="45D5D14A" w14:textId="1ADFDD50" w:rsidR="00302840" w:rsidRDefault="006C1E6E" w:rsidP="00302840">
      <w:pPr>
        <w:spacing w:before="240" w:after="120"/>
        <w:rPr>
          <w:rFonts w:cs="Arial"/>
        </w:rPr>
      </w:pPr>
      <w:r>
        <w:rPr>
          <w:rFonts w:cs="Arial"/>
        </w:rPr>
        <w:t>19.</w:t>
      </w:r>
      <w:r>
        <w:rPr>
          <w:rFonts w:cs="Arial"/>
        </w:rPr>
        <w:tab/>
      </w:r>
      <w:r w:rsidR="00302840" w:rsidRPr="00887A08">
        <w:rPr>
          <w:rFonts w:cs="Arial"/>
        </w:rPr>
        <w:t>Please expand on t</w:t>
      </w:r>
      <w:r w:rsidR="00302840">
        <w:rPr>
          <w:rFonts w:cs="Arial"/>
        </w:rPr>
        <w:t xml:space="preserve">he reason for your </w:t>
      </w:r>
      <w:r>
        <w:rPr>
          <w:rFonts w:cs="Arial"/>
        </w:rPr>
        <w:t>answer to question 18.</w:t>
      </w:r>
    </w:p>
    <w:p w14:paraId="55C25265" w14:textId="26794AA1" w:rsidR="006C1E6E" w:rsidRDefault="006C1E6E" w:rsidP="006C1E6E">
      <w:pPr>
        <w:pBdr>
          <w:bottom w:val="single" w:sz="4" w:space="1" w:color="auto"/>
        </w:pBdr>
        <w:spacing w:before="240" w:after="120"/>
        <w:rPr>
          <w:rFonts w:cs="Arial"/>
        </w:rPr>
      </w:pPr>
      <w:r>
        <w:rPr>
          <w:rFonts w:cs="Arial"/>
        </w:rPr>
        <w:tab/>
      </w:r>
      <w:sdt>
        <w:sdtPr>
          <w:rPr>
            <w:rFonts w:cs="Arial"/>
          </w:rPr>
          <w:id w:val="793182676"/>
          <w:placeholder>
            <w:docPart w:val="4DAE57927F0543488762179CDC93814F"/>
          </w:placeholder>
          <w:showingPlcHdr/>
          <w:text/>
        </w:sdtPr>
        <w:sdtEndPr/>
        <w:sdtContent>
          <w:r w:rsidRPr="004D55AA">
            <w:rPr>
              <w:rStyle w:val="PlaceholderText"/>
              <w:rFonts w:cs="Arial"/>
              <w:i/>
            </w:rPr>
            <w:t>Click here to enter text.</w:t>
          </w:r>
        </w:sdtContent>
      </w:sdt>
    </w:p>
    <w:p w14:paraId="20104F3A" w14:textId="6EB65C54" w:rsidR="00302840" w:rsidRDefault="006C1E6E" w:rsidP="00302840">
      <w:pPr>
        <w:spacing w:before="240" w:after="120"/>
        <w:rPr>
          <w:rFonts w:cs="Arial"/>
        </w:rPr>
      </w:pPr>
      <w:r>
        <w:rPr>
          <w:rFonts w:cs="Arial"/>
        </w:rPr>
        <w:t>20.</w:t>
      </w:r>
      <w:r>
        <w:rPr>
          <w:rFonts w:cs="Arial"/>
        </w:rPr>
        <w:tab/>
      </w:r>
      <w:r w:rsidR="00302840" w:rsidRPr="00887A08">
        <w:rPr>
          <w:rFonts w:cs="Arial"/>
        </w:rPr>
        <w:t xml:space="preserve">The Options Paper discussed 12 Performance Requirements from the LHDG.  Please </w:t>
      </w:r>
      <w:r>
        <w:rPr>
          <w:rFonts w:cs="Arial"/>
        </w:rPr>
        <w:tab/>
      </w:r>
      <w:r w:rsidR="00302840" w:rsidRPr="00887A08">
        <w:rPr>
          <w:rFonts w:cs="Arial"/>
        </w:rPr>
        <w:t xml:space="preserve">indicate whether you agree or disagree that these requirements should be the </w:t>
      </w:r>
      <w:r>
        <w:rPr>
          <w:rFonts w:cs="Arial"/>
        </w:rPr>
        <w:tab/>
      </w:r>
      <w:r w:rsidR="00302840" w:rsidRPr="00887A08">
        <w:rPr>
          <w:rFonts w:cs="Arial"/>
        </w:rPr>
        <w:t>minimum standard for all new residential housing?</w:t>
      </w:r>
    </w:p>
    <w:p w14:paraId="3CBE7F0E" w14:textId="2115B76E" w:rsidR="00747CED" w:rsidRPr="00747CED" w:rsidRDefault="00747CED" w:rsidP="0064120C">
      <w:pPr>
        <w:spacing w:before="240" w:after="120"/>
        <w:rPr>
          <w:rFonts w:cs="Arial"/>
          <w:i/>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 xml:space="preserve">the table below, where ‘1’ means ‘strongly disagree’ and </w:t>
      </w:r>
      <w:r>
        <w:rPr>
          <w:rFonts w:cs="Arial"/>
          <w:i/>
        </w:rPr>
        <w:tab/>
        <w:t>‘</w:t>
      </w:r>
      <w:r w:rsidRPr="00900AD6">
        <w:rPr>
          <w:rFonts w:cs="Arial"/>
          <w:i/>
        </w:rPr>
        <w:t>5</w:t>
      </w:r>
      <w:r>
        <w:rPr>
          <w:rFonts w:cs="Arial"/>
          <w:i/>
        </w:rPr>
        <w:t>’</w:t>
      </w:r>
      <w:r w:rsidR="001A3148">
        <w:rPr>
          <w:rFonts w:cs="Arial"/>
          <w:i/>
        </w:rPr>
        <w:t xml:space="preserve"> means ‘strongly agree’.</w:t>
      </w:r>
    </w:p>
    <w:tbl>
      <w:tblPr>
        <w:tblStyle w:val="TableGrid"/>
        <w:tblW w:w="9634" w:type="dxa"/>
        <w:tblLayout w:type="fixed"/>
        <w:tblLook w:val="04A0" w:firstRow="1" w:lastRow="0" w:firstColumn="1" w:lastColumn="0" w:noHBand="0" w:noVBand="1"/>
        <w:tblCaption w:val="Question 20 response table"/>
      </w:tblPr>
      <w:tblGrid>
        <w:gridCol w:w="4106"/>
        <w:gridCol w:w="1105"/>
        <w:gridCol w:w="1106"/>
        <w:gridCol w:w="1105"/>
        <w:gridCol w:w="1106"/>
        <w:gridCol w:w="1106"/>
      </w:tblGrid>
      <w:tr w:rsidR="00747CED" w:rsidRPr="00900AD6" w14:paraId="44895E5B" w14:textId="77777777" w:rsidTr="000D3298">
        <w:trPr>
          <w:trHeight w:val="340"/>
          <w:tblHeader/>
        </w:trPr>
        <w:tc>
          <w:tcPr>
            <w:tcW w:w="4106" w:type="dxa"/>
            <w:shd w:val="clear" w:color="auto" w:fill="D9D9D9" w:themeFill="background1" w:themeFillShade="D9"/>
            <w:vAlign w:val="center"/>
          </w:tcPr>
          <w:p w14:paraId="690A314D" w14:textId="19D4D616" w:rsidR="00747CED" w:rsidRPr="00900AD6" w:rsidRDefault="00747CED" w:rsidP="00747CED">
            <w:pPr>
              <w:rPr>
                <w:rFonts w:cs="Arial"/>
                <w:b/>
              </w:rPr>
            </w:pPr>
            <w:r>
              <w:rPr>
                <w:rFonts w:cs="Arial"/>
                <w:b/>
              </w:rPr>
              <w:t>Performance Requirement</w:t>
            </w:r>
          </w:p>
        </w:tc>
        <w:tc>
          <w:tcPr>
            <w:tcW w:w="1105" w:type="dxa"/>
            <w:shd w:val="clear" w:color="auto" w:fill="D9D9D9" w:themeFill="background1" w:themeFillShade="D9"/>
            <w:vAlign w:val="center"/>
          </w:tcPr>
          <w:p w14:paraId="47125839" w14:textId="77777777" w:rsidR="00747CED" w:rsidRPr="00900AD6" w:rsidRDefault="00747CED" w:rsidP="00747CED">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25CF6936" w14:textId="77777777" w:rsidR="00747CED" w:rsidRPr="00900AD6" w:rsidRDefault="00747CED" w:rsidP="00747CED">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210402AD" w14:textId="77777777" w:rsidR="00747CED" w:rsidRPr="00900AD6" w:rsidRDefault="00747CED" w:rsidP="00747CED">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31E77A52" w14:textId="77777777" w:rsidR="00747CED" w:rsidRPr="00900AD6" w:rsidRDefault="00747CED" w:rsidP="00747CED">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184C5C9B" w14:textId="77777777" w:rsidR="00747CED" w:rsidRPr="00900AD6" w:rsidRDefault="00747CED" w:rsidP="00747CED">
            <w:pPr>
              <w:jc w:val="center"/>
              <w:rPr>
                <w:rFonts w:cs="Arial"/>
                <w:b/>
                <w:sz w:val="20"/>
                <w:szCs w:val="20"/>
              </w:rPr>
            </w:pPr>
            <w:r w:rsidRPr="00900AD6">
              <w:rPr>
                <w:rFonts w:cs="Arial"/>
                <w:b/>
                <w:sz w:val="20"/>
                <w:szCs w:val="20"/>
              </w:rPr>
              <w:t>5</w:t>
            </w:r>
          </w:p>
        </w:tc>
      </w:tr>
      <w:tr w:rsidR="00747CED" w:rsidRPr="00887A08" w14:paraId="5425C65A" w14:textId="77777777" w:rsidTr="00747CED">
        <w:trPr>
          <w:trHeight w:val="624"/>
        </w:trPr>
        <w:tc>
          <w:tcPr>
            <w:tcW w:w="4106" w:type="dxa"/>
            <w:vAlign w:val="center"/>
          </w:tcPr>
          <w:p w14:paraId="64F59DCD" w14:textId="598CB10A" w:rsidR="00747CED" w:rsidRPr="00887A08" w:rsidRDefault="00747CED" w:rsidP="00747CED">
            <w:pPr>
              <w:jc w:val="left"/>
              <w:rPr>
                <w:rFonts w:cs="Arial"/>
              </w:rPr>
            </w:pPr>
            <w:r w:rsidRPr="00887A08">
              <w:rPr>
                <w:rFonts w:eastAsia="Calibri" w:cs="Arial"/>
              </w:rPr>
              <w:t>A safe, continuous, step-free pathway from the street entrance and/or parking area to a dwelling entrance that is level.</w:t>
            </w:r>
          </w:p>
        </w:tc>
        <w:tc>
          <w:tcPr>
            <w:tcW w:w="1105" w:type="dxa"/>
            <w:vAlign w:val="center"/>
          </w:tcPr>
          <w:p w14:paraId="3DB3AC05" w14:textId="77777777" w:rsidR="00747CED" w:rsidRPr="00887A08" w:rsidRDefault="00FE3C57" w:rsidP="00747CED">
            <w:pPr>
              <w:rPr>
                <w:rFonts w:cs="Arial"/>
              </w:rPr>
            </w:pPr>
            <w:sdt>
              <w:sdtPr>
                <w:rPr>
                  <w:rFonts w:cs="Arial"/>
                </w:rPr>
                <w:id w:val="-197835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30DB20E5" w14:textId="77777777" w:rsidR="00747CED" w:rsidRPr="00887A08" w:rsidRDefault="00FE3C57" w:rsidP="00747CED">
            <w:pPr>
              <w:rPr>
                <w:rFonts w:cs="Arial"/>
              </w:rPr>
            </w:pPr>
            <w:sdt>
              <w:sdtPr>
                <w:rPr>
                  <w:rFonts w:cs="Arial"/>
                </w:rPr>
                <w:id w:val="146314647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6189CC4D" w14:textId="77777777" w:rsidR="00747CED" w:rsidRPr="00887A08" w:rsidRDefault="00FE3C57" w:rsidP="00747CED">
            <w:pPr>
              <w:rPr>
                <w:rFonts w:cs="Arial"/>
              </w:rPr>
            </w:pPr>
            <w:sdt>
              <w:sdtPr>
                <w:rPr>
                  <w:rFonts w:cs="Arial"/>
                </w:rPr>
                <w:id w:val="1567992518"/>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E6FA160" w14:textId="77777777" w:rsidR="00747CED" w:rsidRPr="00887A08" w:rsidRDefault="00FE3C57" w:rsidP="00747CED">
            <w:pPr>
              <w:rPr>
                <w:rFonts w:cs="Arial"/>
              </w:rPr>
            </w:pPr>
            <w:sdt>
              <w:sdtPr>
                <w:rPr>
                  <w:rFonts w:cs="Arial"/>
                </w:rPr>
                <w:id w:val="-102525269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B8EE64D" w14:textId="77777777" w:rsidR="00747CED" w:rsidRPr="00887A08" w:rsidRDefault="00FE3C57" w:rsidP="00747CED">
            <w:pPr>
              <w:rPr>
                <w:rFonts w:cs="Arial"/>
              </w:rPr>
            </w:pPr>
            <w:sdt>
              <w:sdtPr>
                <w:rPr>
                  <w:rFonts w:cs="Arial"/>
                </w:rPr>
                <w:id w:val="-138147343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0683B76D" w14:textId="77777777" w:rsidTr="00747CED">
        <w:trPr>
          <w:trHeight w:val="624"/>
        </w:trPr>
        <w:tc>
          <w:tcPr>
            <w:tcW w:w="4106" w:type="dxa"/>
            <w:vAlign w:val="center"/>
          </w:tcPr>
          <w:p w14:paraId="2A23FAE4" w14:textId="6176F223" w:rsidR="00747CED" w:rsidRPr="00887A08" w:rsidRDefault="00747CED" w:rsidP="00747CED">
            <w:pPr>
              <w:jc w:val="left"/>
              <w:rPr>
                <w:rFonts w:eastAsia="Calibri" w:cs="Arial"/>
              </w:rPr>
            </w:pPr>
            <w:r w:rsidRPr="00747CED">
              <w:rPr>
                <w:rFonts w:eastAsia="Calibri" w:cs="Arial"/>
              </w:rPr>
              <w:t>At least one level (step-free) entrance into the dwelling to enable home occupants to easily enter and exit the dwelling.</w:t>
            </w:r>
          </w:p>
        </w:tc>
        <w:tc>
          <w:tcPr>
            <w:tcW w:w="1105" w:type="dxa"/>
            <w:vAlign w:val="center"/>
          </w:tcPr>
          <w:p w14:paraId="415CC429" w14:textId="5388A5D9" w:rsidR="00747CED" w:rsidRDefault="00FE3C57" w:rsidP="00747CED">
            <w:pPr>
              <w:rPr>
                <w:rFonts w:cs="Arial"/>
              </w:rPr>
            </w:pPr>
            <w:sdt>
              <w:sdtPr>
                <w:rPr>
                  <w:rFonts w:cs="Arial"/>
                </w:rPr>
                <w:id w:val="-40075487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EDE2FBD" w14:textId="3C4F6793" w:rsidR="00747CED" w:rsidRDefault="00FE3C57" w:rsidP="00747CED">
            <w:pPr>
              <w:rPr>
                <w:rFonts w:cs="Arial"/>
              </w:rPr>
            </w:pPr>
            <w:sdt>
              <w:sdtPr>
                <w:rPr>
                  <w:rFonts w:cs="Arial"/>
                </w:rPr>
                <w:id w:val="-208729503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4CDA2D24" w14:textId="4D4541E7" w:rsidR="00747CED" w:rsidRDefault="00FE3C57" w:rsidP="00747CED">
            <w:pPr>
              <w:rPr>
                <w:rFonts w:cs="Arial"/>
              </w:rPr>
            </w:pPr>
            <w:sdt>
              <w:sdtPr>
                <w:rPr>
                  <w:rFonts w:cs="Arial"/>
                </w:rPr>
                <w:id w:val="43248727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6902A2DB" w14:textId="74FE0A0A" w:rsidR="00747CED" w:rsidRDefault="00FE3C57" w:rsidP="00747CED">
            <w:pPr>
              <w:rPr>
                <w:rFonts w:cs="Arial"/>
              </w:rPr>
            </w:pPr>
            <w:sdt>
              <w:sdtPr>
                <w:rPr>
                  <w:rFonts w:cs="Arial"/>
                </w:rPr>
                <w:id w:val="28648092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252E912A" w14:textId="50D41AA4" w:rsidR="00747CED" w:rsidRDefault="00FE3C57" w:rsidP="00747CED">
            <w:pPr>
              <w:rPr>
                <w:rFonts w:cs="Arial"/>
              </w:rPr>
            </w:pPr>
            <w:sdt>
              <w:sdtPr>
                <w:rPr>
                  <w:rFonts w:cs="Arial"/>
                </w:rPr>
                <w:id w:val="-235477694"/>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50C4DF9B" w14:textId="77777777" w:rsidTr="00747CED">
        <w:trPr>
          <w:trHeight w:val="624"/>
        </w:trPr>
        <w:tc>
          <w:tcPr>
            <w:tcW w:w="4106" w:type="dxa"/>
            <w:vAlign w:val="center"/>
          </w:tcPr>
          <w:p w14:paraId="439B0F84" w14:textId="6400E28A" w:rsidR="00747CED" w:rsidRPr="00747CED" w:rsidRDefault="00747CED" w:rsidP="00747CED">
            <w:pPr>
              <w:jc w:val="left"/>
              <w:rPr>
                <w:rFonts w:eastAsia="Calibri" w:cs="Arial"/>
              </w:rPr>
            </w:pPr>
            <w:r w:rsidRPr="00747CED">
              <w:rPr>
                <w:rFonts w:eastAsia="Calibri" w:cs="Arial"/>
              </w:rPr>
              <w:t>Internal doors and corridors that facilitate comfortable and unimpeded movement between spaces.</w:t>
            </w:r>
          </w:p>
        </w:tc>
        <w:tc>
          <w:tcPr>
            <w:tcW w:w="1105" w:type="dxa"/>
            <w:vAlign w:val="center"/>
          </w:tcPr>
          <w:p w14:paraId="2EAF25E1" w14:textId="5B7773CD" w:rsidR="00747CED" w:rsidRDefault="00FE3C57" w:rsidP="00747CED">
            <w:pPr>
              <w:rPr>
                <w:rFonts w:cs="Arial"/>
              </w:rPr>
            </w:pPr>
            <w:sdt>
              <w:sdtPr>
                <w:rPr>
                  <w:rFonts w:cs="Arial"/>
                </w:rPr>
                <w:id w:val="-213562141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04CE3EF" w14:textId="10A25797" w:rsidR="00747CED" w:rsidRDefault="00FE3C57" w:rsidP="00747CED">
            <w:pPr>
              <w:rPr>
                <w:rFonts w:cs="Arial"/>
              </w:rPr>
            </w:pPr>
            <w:sdt>
              <w:sdtPr>
                <w:rPr>
                  <w:rFonts w:cs="Arial"/>
                </w:rPr>
                <w:id w:val="-174679121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70D10E54" w14:textId="3F0706B6" w:rsidR="00747CED" w:rsidRDefault="00FE3C57" w:rsidP="00747CED">
            <w:pPr>
              <w:rPr>
                <w:rFonts w:cs="Arial"/>
              </w:rPr>
            </w:pPr>
            <w:sdt>
              <w:sdtPr>
                <w:rPr>
                  <w:rFonts w:cs="Arial"/>
                </w:rPr>
                <w:id w:val="-672253017"/>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F1FA9CC" w14:textId="0B993934" w:rsidR="00747CED" w:rsidRDefault="00FE3C57" w:rsidP="00747CED">
            <w:pPr>
              <w:rPr>
                <w:rFonts w:cs="Arial"/>
              </w:rPr>
            </w:pPr>
            <w:sdt>
              <w:sdtPr>
                <w:rPr>
                  <w:rFonts w:cs="Arial"/>
                </w:rPr>
                <w:id w:val="-94045372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CC1C590" w14:textId="10344581" w:rsidR="00747CED" w:rsidRDefault="00FE3C57" w:rsidP="00747CED">
            <w:pPr>
              <w:rPr>
                <w:rFonts w:cs="Arial"/>
              </w:rPr>
            </w:pPr>
            <w:sdt>
              <w:sdtPr>
                <w:rPr>
                  <w:rFonts w:cs="Arial"/>
                </w:rPr>
                <w:id w:val="924461197"/>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1F21CB8F" w14:textId="77777777" w:rsidTr="00747CED">
        <w:trPr>
          <w:trHeight w:val="624"/>
        </w:trPr>
        <w:tc>
          <w:tcPr>
            <w:tcW w:w="4106" w:type="dxa"/>
            <w:vAlign w:val="center"/>
          </w:tcPr>
          <w:p w14:paraId="503855D1" w14:textId="6E47CD4B" w:rsidR="00747CED" w:rsidRPr="00747CED" w:rsidRDefault="00747CED" w:rsidP="00747CED">
            <w:pPr>
              <w:jc w:val="left"/>
              <w:rPr>
                <w:rFonts w:eastAsia="Calibri" w:cs="Arial"/>
              </w:rPr>
            </w:pPr>
            <w:r w:rsidRPr="00747CED">
              <w:rPr>
                <w:rFonts w:eastAsia="Calibri" w:cs="Arial"/>
              </w:rPr>
              <w:t>The ground (or entry) level has a toilet to support easy access for home occupants and visitors.</w:t>
            </w:r>
          </w:p>
        </w:tc>
        <w:tc>
          <w:tcPr>
            <w:tcW w:w="1105" w:type="dxa"/>
            <w:vAlign w:val="center"/>
          </w:tcPr>
          <w:p w14:paraId="1C412276" w14:textId="52A8062B" w:rsidR="00747CED" w:rsidRDefault="00FE3C57" w:rsidP="00747CED">
            <w:pPr>
              <w:rPr>
                <w:rFonts w:cs="Arial"/>
              </w:rPr>
            </w:pPr>
            <w:sdt>
              <w:sdtPr>
                <w:rPr>
                  <w:rFonts w:cs="Arial"/>
                </w:rPr>
                <w:id w:val="-154874532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9D3B77A" w14:textId="13016FA6" w:rsidR="00747CED" w:rsidRDefault="00FE3C57" w:rsidP="00747CED">
            <w:pPr>
              <w:rPr>
                <w:rFonts w:cs="Arial"/>
              </w:rPr>
            </w:pPr>
            <w:sdt>
              <w:sdtPr>
                <w:rPr>
                  <w:rFonts w:cs="Arial"/>
                </w:rPr>
                <w:id w:val="-106232754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1A32760D" w14:textId="3924E67B" w:rsidR="00747CED" w:rsidRDefault="00FE3C57" w:rsidP="00747CED">
            <w:pPr>
              <w:rPr>
                <w:rFonts w:cs="Arial"/>
              </w:rPr>
            </w:pPr>
            <w:sdt>
              <w:sdtPr>
                <w:rPr>
                  <w:rFonts w:cs="Arial"/>
                </w:rPr>
                <w:id w:val="150786380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CE78314" w14:textId="57AAD8D8" w:rsidR="00747CED" w:rsidRDefault="00FE3C57" w:rsidP="00747CED">
            <w:pPr>
              <w:rPr>
                <w:rFonts w:cs="Arial"/>
              </w:rPr>
            </w:pPr>
            <w:sdt>
              <w:sdtPr>
                <w:rPr>
                  <w:rFonts w:cs="Arial"/>
                </w:rPr>
                <w:id w:val="180396559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89C4C23" w14:textId="504DC057" w:rsidR="00747CED" w:rsidRDefault="00FE3C57" w:rsidP="00747CED">
            <w:pPr>
              <w:rPr>
                <w:rFonts w:cs="Arial"/>
              </w:rPr>
            </w:pPr>
            <w:sdt>
              <w:sdtPr>
                <w:rPr>
                  <w:rFonts w:cs="Arial"/>
                </w:rPr>
                <w:id w:val="-137569366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5F1AA3B7" w14:textId="77777777" w:rsidTr="00747CED">
        <w:trPr>
          <w:trHeight w:val="624"/>
        </w:trPr>
        <w:tc>
          <w:tcPr>
            <w:tcW w:w="4106" w:type="dxa"/>
            <w:vAlign w:val="center"/>
          </w:tcPr>
          <w:p w14:paraId="7B20D0C2" w14:textId="37DA78B1" w:rsidR="00747CED" w:rsidRPr="00747CED" w:rsidRDefault="00747CED" w:rsidP="00747CED">
            <w:pPr>
              <w:jc w:val="left"/>
              <w:rPr>
                <w:rFonts w:eastAsia="Calibri" w:cs="Arial"/>
              </w:rPr>
            </w:pPr>
            <w:r w:rsidRPr="00747CED">
              <w:rPr>
                <w:rFonts w:eastAsia="Calibri" w:cs="Arial"/>
              </w:rPr>
              <w:t>The bathroom and shower is designed for easy and independent access for all home occupants.</w:t>
            </w:r>
          </w:p>
        </w:tc>
        <w:tc>
          <w:tcPr>
            <w:tcW w:w="1105" w:type="dxa"/>
            <w:vAlign w:val="center"/>
          </w:tcPr>
          <w:p w14:paraId="34F5A5AD" w14:textId="68872DB0" w:rsidR="00747CED" w:rsidRDefault="00FE3C57" w:rsidP="00747CED">
            <w:pPr>
              <w:rPr>
                <w:rFonts w:cs="Arial"/>
              </w:rPr>
            </w:pPr>
            <w:sdt>
              <w:sdtPr>
                <w:rPr>
                  <w:rFonts w:cs="Arial"/>
                </w:rPr>
                <w:id w:val="-54320951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4EE1B9C9" w14:textId="24F0B193" w:rsidR="00747CED" w:rsidRDefault="00FE3C57" w:rsidP="00747CED">
            <w:pPr>
              <w:rPr>
                <w:rFonts w:cs="Arial"/>
              </w:rPr>
            </w:pPr>
            <w:sdt>
              <w:sdtPr>
                <w:rPr>
                  <w:rFonts w:cs="Arial"/>
                </w:rPr>
                <w:id w:val="174969247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44A128FD" w14:textId="40D918D0" w:rsidR="00747CED" w:rsidRDefault="00FE3C57" w:rsidP="00747CED">
            <w:pPr>
              <w:rPr>
                <w:rFonts w:cs="Arial"/>
              </w:rPr>
            </w:pPr>
            <w:sdt>
              <w:sdtPr>
                <w:rPr>
                  <w:rFonts w:cs="Arial"/>
                </w:rPr>
                <w:id w:val="-9579035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5AE4AFF" w14:textId="6399B72E" w:rsidR="00747CED" w:rsidRDefault="00FE3C57" w:rsidP="00747CED">
            <w:pPr>
              <w:rPr>
                <w:rFonts w:cs="Arial"/>
              </w:rPr>
            </w:pPr>
            <w:sdt>
              <w:sdtPr>
                <w:rPr>
                  <w:rFonts w:cs="Arial"/>
                </w:rPr>
                <w:id w:val="121770119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3A8017B7" w14:textId="1B1554D4" w:rsidR="00747CED" w:rsidRDefault="00FE3C57" w:rsidP="00747CED">
            <w:pPr>
              <w:rPr>
                <w:rFonts w:cs="Arial"/>
              </w:rPr>
            </w:pPr>
            <w:sdt>
              <w:sdtPr>
                <w:rPr>
                  <w:rFonts w:cs="Arial"/>
                </w:rPr>
                <w:id w:val="14177842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637EC9C7" w14:textId="77777777" w:rsidTr="00747CED">
        <w:trPr>
          <w:trHeight w:val="624"/>
        </w:trPr>
        <w:tc>
          <w:tcPr>
            <w:tcW w:w="4106" w:type="dxa"/>
            <w:vAlign w:val="center"/>
          </w:tcPr>
          <w:p w14:paraId="078F1BBA" w14:textId="56927D39" w:rsidR="00747CED" w:rsidRPr="00747CED" w:rsidRDefault="00747CED" w:rsidP="00747CED">
            <w:pPr>
              <w:jc w:val="left"/>
              <w:rPr>
                <w:rFonts w:eastAsia="Calibri" w:cs="Arial"/>
              </w:rPr>
            </w:pPr>
            <w:r w:rsidRPr="00747CED">
              <w:rPr>
                <w:rFonts w:eastAsia="Calibri" w:cs="Arial"/>
              </w:rPr>
              <w:t>Bathroom and toilet walls are built to enable grabrails to be safely and economically installed (immediately or in the future).</w:t>
            </w:r>
          </w:p>
        </w:tc>
        <w:tc>
          <w:tcPr>
            <w:tcW w:w="1105" w:type="dxa"/>
            <w:vAlign w:val="center"/>
          </w:tcPr>
          <w:p w14:paraId="18276D96" w14:textId="2E468D2A" w:rsidR="00747CED" w:rsidRDefault="00FE3C57" w:rsidP="00747CED">
            <w:pPr>
              <w:rPr>
                <w:rFonts w:cs="Arial"/>
              </w:rPr>
            </w:pPr>
            <w:sdt>
              <w:sdtPr>
                <w:rPr>
                  <w:rFonts w:cs="Arial"/>
                </w:rPr>
                <w:id w:val="95259970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3BA3E41E" w14:textId="536A6F3D" w:rsidR="00747CED" w:rsidRDefault="00FE3C57" w:rsidP="00747CED">
            <w:pPr>
              <w:rPr>
                <w:rFonts w:cs="Arial"/>
              </w:rPr>
            </w:pPr>
            <w:sdt>
              <w:sdtPr>
                <w:rPr>
                  <w:rFonts w:cs="Arial"/>
                </w:rPr>
                <w:id w:val="-95185996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19731776" w14:textId="05FCE394" w:rsidR="00747CED" w:rsidRDefault="00FE3C57" w:rsidP="00747CED">
            <w:pPr>
              <w:rPr>
                <w:rFonts w:cs="Arial"/>
              </w:rPr>
            </w:pPr>
            <w:sdt>
              <w:sdtPr>
                <w:rPr>
                  <w:rFonts w:cs="Arial"/>
                </w:rPr>
                <w:id w:val="178599938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6F57C50F" w14:textId="4316FB04" w:rsidR="00747CED" w:rsidRDefault="00FE3C57" w:rsidP="00747CED">
            <w:pPr>
              <w:rPr>
                <w:rFonts w:cs="Arial"/>
              </w:rPr>
            </w:pPr>
            <w:sdt>
              <w:sdtPr>
                <w:rPr>
                  <w:rFonts w:cs="Arial"/>
                </w:rPr>
                <w:id w:val="-1553609574"/>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152FBD53" w14:textId="163BA90F" w:rsidR="00747CED" w:rsidRDefault="00FE3C57" w:rsidP="00747CED">
            <w:pPr>
              <w:rPr>
                <w:rFonts w:cs="Arial"/>
              </w:rPr>
            </w:pPr>
            <w:sdt>
              <w:sdtPr>
                <w:rPr>
                  <w:rFonts w:cs="Arial"/>
                </w:rPr>
                <w:id w:val="-951013804"/>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195C27BB" w14:textId="77777777" w:rsidTr="00747CED">
        <w:trPr>
          <w:trHeight w:val="624"/>
        </w:trPr>
        <w:tc>
          <w:tcPr>
            <w:tcW w:w="4106" w:type="dxa"/>
            <w:vAlign w:val="center"/>
          </w:tcPr>
          <w:p w14:paraId="08A2A12F" w14:textId="68E0247A" w:rsidR="00747CED" w:rsidRPr="00747CED" w:rsidRDefault="00747CED" w:rsidP="00747CED">
            <w:pPr>
              <w:jc w:val="left"/>
              <w:rPr>
                <w:rFonts w:eastAsia="Calibri" w:cs="Arial"/>
              </w:rPr>
            </w:pPr>
            <w:r w:rsidRPr="00747CED">
              <w:rPr>
                <w:rFonts w:eastAsia="Calibri" w:cs="Arial"/>
              </w:rPr>
              <w:t>Where installed, stairways are designed to reduce the likelihood of injury and also enable a safe pathway.</w:t>
            </w:r>
          </w:p>
        </w:tc>
        <w:tc>
          <w:tcPr>
            <w:tcW w:w="1105" w:type="dxa"/>
            <w:vAlign w:val="center"/>
          </w:tcPr>
          <w:p w14:paraId="620E4F7B" w14:textId="613FCB67" w:rsidR="00747CED" w:rsidRDefault="00FE3C57" w:rsidP="00747CED">
            <w:pPr>
              <w:rPr>
                <w:rFonts w:cs="Arial"/>
              </w:rPr>
            </w:pPr>
            <w:sdt>
              <w:sdtPr>
                <w:rPr>
                  <w:rFonts w:cs="Arial"/>
                </w:rPr>
                <w:id w:val="329417718"/>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5A0BFF7E" w14:textId="657C43D6" w:rsidR="00747CED" w:rsidRDefault="00FE3C57" w:rsidP="00747CED">
            <w:pPr>
              <w:rPr>
                <w:rFonts w:cs="Arial"/>
              </w:rPr>
            </w:pPr>
            <w:sdt>
              <w:sdtPr>
                <w:rPr>
                  <w:rFonts w:cs="Arial"/>
                </w:rPr>
                <w:id w:val="-824892894"/>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19556E80" w14:textId="7CBA3D86" w:rsidR="00747CED" w:rsidRDefault="00FE3C57" w:rsidP="00747CED">
            <w:pPr>
              <w:rPr>
                <w:rFonts w:cs="Arial"/>
              </w:rPr>
            </w:pPr>
            <w:sdt>
              <w:sdtPr>
                <w:rPr>
                  <w:rFonts w:cs="Arial"/>
                </w:rPr>
                <w:id w:val="-69591799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D7CE349" w14:textId="59AF1B4C" w:rsidR="00747CED" w:rsidRDefault="00FE3C57" w:rsidP="00747CED">
            <w:pPr>
              <w:rPr>
                <w:rFonts w:cs="Arial"/>
              </w:rPr>
            </w:pPr>
            <w:sdt>
              <w:sdtPr>
                <w:rPr>
                  <w:rFonts w:cs="Arial"/>
                </w:rPr>
                <w:id w:val="53153803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3B286FF7" w14:textId="2C4C7454" w:rsidR="00747CED" w:rsidRDefault="00FE3C57" w:rsidP="00747CED">
            <w:pPr>
              <w:rPr>
                <w:rFonts w:cs="Arial"/>
              </w:rPr>
            </w:pPr>
            <w:sdt>
              <w:sdtPr>
                <w:rPr>
                  <w:rFonts w:cs="Arial"/>
                </w:rPr>
                <w:id w:val="153392097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7145A792" w14:textId="77777777" w:rsidTr="00747CED">
        <w:trPr>
          <w:trHeight w:val="624"/>
        </w:trPr>
        <w:tc>
          <w:tcPr>
            <w:tcW w:w="4106" w:type="dxa"/>
            <w:vAlign w:val="center"/>
          </w:tcPr>
          <w:p w14:paraId="32693449" w14:textId="0AF38704" w:rsidR="00747CED" w:rsidRPr="00747CED" w:rsidRDefault="00747CED" w:rsidP="00747CED">
            <w:pPr>
              <w:jc w:val="left"/>
              <w:rPr>
                <w:rFonts w:eastAsia="Calibri" w:cs="Arial"/>
              </w:rPr>
            </w:pPr>
            <w:r w:rsidRPr="00747CED">
              <w:rPr>
                <w:rFonts w:eastAsia="Calibri" w:cs="Arial"/>
              </w:rPr>
              <w:t>The kitchen space is designed to support ease of movement between fixed benches and to support easy adaptation.</w:t>
            </w:r>
          </w:p>
        </w:tc>
        <w:tc>
          <w:tcPr>
            <w:tcW w:w="1105" w:type="dxa"/>
            <w:vAlign w:val="center"/>
          </w:tcPr>
          <w:p w14:paraId="0907AAD7" w14:textId="3A14750D" w:rsidR="00747CED" w:rsidRDefault="00FE3C57" w:rsidP="00747CED">
            <w:pPr>
              <w:rPr>
                <w:rFonts w:cs="Arial"/>
              </w:rPr>
            </w:pPr>
            <w:sdt>
              <w:sdtPr>
                <w:rPr>
                  <w:rFonts w:cs="Arial"/>
                </w:rPr>
                <w:id w:val="40573194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631B72D" w14:textId="724E6A8D" w:rsidR="00747CED" w:rsidRDefault="00FE3C57" w:rsidP="00747CED">
            <w:pPr>
              <w:rPr>
                <w:rFonts w:cs="Arial"/>
              </w:rPr>
            </w:pPr>
            <w:sdt>
              <w:sdtPr>
                <w:rPr>
                  <w:rFonts w:cs="Arial"/>
                </w:rPr>
                <w:id w:val="207547535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3C4CEE3F" w14:textId="5FF00F86" w:rsidR="00747CED" w:rsidRDefault="00FE3C57" w:rsidP="00747CED">
            <w:pPr>
              <w:rPr>
                <w:rFonts w:cs="Arial"/>
              </w:rPr>
            </w:pPr>
            <w:sdt>
              <w:sdtPr>
                <w:rPr>
                  <w:rFonts w:cs="Arial"/>
                </w:rPr>
                <w:id w:val="-196788282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6E5CC9DD" w14:textId="371627A8" w:rsidR="00747CED" w:rsidRDefault="00FE3C57" w:rsidP="00747CED">
            <w:pPr>
              <w:rPr>
                <w:rFonts w:cs="Arial"/>
              </w:rPr>
            </w:pPr>
            <w:sdt>
              <w:sdtPr>
                <w:rPr>
                  <w:rFonts w:cs="Arial"/>
                </w:rPr>
                <w:id w:val="79064096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8B92176" w14:textId="75431CA1" w:rsidR="00747CED" w:rsidRDefault="00FE3C57" w:rsidP="00747CED">
            <w:pPr>
              <w:rPr>
                <w:rFonts w:cs="Arial"/>
              </w:rPr>
            </w:pPr>
            <w:sdt>
              <w:sdtPr>
                <w:rPr>
                  <w:rFonts w:cs="Arial"/>
                </w:rPr>
                <w:id w:val="-80585503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2D8AD439" w14:textId="77777777" w:rsidTr="00747CED">
        <w:trPr>
          <w:trHeight w:val="624"/>
        </w:trPr>
        <w:tc>
          <w:tcPr>
            <w:tcW w:w="4106" w:type="dxa"/>
            <w:vAlign w:val="center"/>
          </w:tcPr>
          <w:p w14:paraId="09286201" w14:textId="752FE313" w:rsidR="00747CED" w:rsidRPr="00747CED" w:rsidRDefault="00747CED" w:rsidP="00747CED">
            <w:pPr>
              <w:jc w:val="left"/>
              <w:rPr>
                <w:rFonts w:eastAsia="Calibri" w:cs="Arial"/>
              </w:rPr>
            </w:pPr>
            <w:r w:rsidRPr="00747CED">
              <w:rPr>
                <w:rFonts w:eastAsia="Calibri" w:cs="Arial"/>
              </w:rPr>
              <w:t>The laundry space is designed to support ease of movement between fixed benches and to support easy adaptation.</w:t>
            </w:r>
          </w:p>
        </w:tc>
        <w:tc>
          <w:tcPr>
            <w:tcW w:w="1105" w:type="dxa"/>
            <w:vAlign w:val="center"/>
          </w:tcPr>
          <w:p w14:paraId="6D446EF7" w14:textId="1AACD309" w:rsidR="00747CED" w:rsidRDefault="00FE3C57" w:rsidP="00747CED">
            <w:pPr>
              <w:rPr>
                <w:rFonts w:cs="Arial"/>
              </w:rPr>
            </w:pPr>
            <w:sdt>
              <w:sdtPr>
                <w:rPr>
                  <w:rFonts w:cs="Arial"/>
                </w:rPr>
                <w:id w:val="143215633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561F92E" w14:textId="0A4C334E" w:rsidR="00747CED" w:rsidRDefault="00FE3C57" w:rsidP="00747CED">
            <w:pPr>
              <w:rPr>
                <w:rFonts w:cs="Arial"/>
              </w:rPr>
            </w:pPr>
            <w:sdt>
              <w:sdtPr>
                <w:rPr>
                  <w:rFonts w:cs="Arial"/>
                </w:rPr>
                <w:id w:val="-430901198"/>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4AA158DD" w14:textId="32814243" w:rsidR="00747CED" w:rsidRDefault="00FE3C57" w:rsidP="00747CED">
            <w:pPr>
              <w:rPr>
                <w:rFonts w:cs="Arial"/>
              </w:rPr>
            </w:pPr>
            <w:sdt>
              <w:sdtPr>
                <w:rPr>
                  <w:rFonts w:cs="Arial"/>
                </w:rPr>
                <w:id w:val="1353839351"/>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2ADAF991" w14:textId="7068D223" w:rsidR="00747CED" w:rsidRDefault="00FE3C57" w:rsidP="00747CED">
            <w:pPr>
              <w:rPr>
                <w:rFonts w:cs="Arial"/>
              </w:rPr>
            </w:pPr>
            <w:sdt>
              <w:sdtPr>
                <w:rPr>
                  <w:rFonts w:cs="Arial"/>
                </w:rPr>
                <w:id w:val="120267206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2DA4FD01" w14:textId="38C810DA" w:rsidR="00747CED" w:rsidRDefault="00FE3C57" w:rsidP="00747CED">
            <w:pPr>
              <w:rPr>
                <w:rFonts w:cs="Arial"/>
              </w:rPr>
            </w:pPr>
            <w:sdt>
              <w:sdtPr>
                <w:rPr>
                  <w:rFonts w:cs="Arial"/>
                </w:rPr>
                <w:id w:val="1080842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0CBD5871" w14:textId="77777777" w:rsidTr="00747CED">
        <w:trPr>
          <w:trHeight w:val="624"/>
        </w:trPr>
        <w:tc>
          <w:tcPr>
            <w:tcW w:w="4106" w:type="dxa"/>
            <w:vAlign w:val="center"/>
          </w:tcPr>
          <w:p w14:paraId="1FEF4A90" w14:textId="185C7C63" w:rsidR="00747CED" w:rsidRPr="00747CED" w:rsidRDefault="00747CED" w:rsidP="00747CED">
            <w:pPr>
              <w:jc w:val="left"/>
              <w:rPr>
                <w:rFonts w:eastAsia="Calibri" w:cs="Arial"/>
              </w:rPr>
            </w:pPr>
            <w:r w:rsidRPr="00747CED">
              <w:rPr>
                <w:rFonts w:eastAsia="Calibri" w:cs="Arial"/>
              </w:rPr>
              <w:t>There is a space on the ground (or entry) level that can be used as a bedroom.</w:t>
            </w:r>
          </w:p>
        </w:tc>
        <w:tc>
          <w:tcPr>
            <w:tcW w:w="1105" w:type="dxa"/>
            <w:vAlign w:val="center"/>
          </w:tcPr>
          <w:p w14:paraId="3A0C2CC9" w14:textId="4ADCF399" w:rsidR="00747CED" w:rsidRDefault="00FE3C57" w:rsidP="00747CED">
            <w:pPr>
              <w:rPr>
                <w:rFonts w:cs="Arial"/>
              </w:rPr>
            </w:pPr>
            <w:sdt>
              <w:sdtPr>
                <w:rPr>
                  <w:rFonts w:cs="Arial"/>
                </w:rPr>
                <w:id w:val="-59625171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01EF6E3" w14:textId="674BDCCC" w:rsidR="00747CED" w:rsidRDefault="00FE3C57" w:rsidP="00747CED">
            <w:pPr>
              <w:rPr>
                <w:rFonts w:cs="Arial"/>
              </w:rPr>
            </w:pPr>
            <w:sdt>
              <w:sdtPr>
                <w:rPr>
                  <w:rFonts w:cs="Arial"/>
                </w:rPr>
                <w:id w:val="85484956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3EF20A1A" w14:textId="33F49428" w:rsidR="00747CED" w:rsidRDefault="00FE3C57" w:rsidP="00747CED">
            <w:pPr>
              <w:rPr>
                <w:rFonts w:cs="Arial"/>
              </w:rPr>
            </w:pPr>
            <w:sdt>
              <w:sdtPr>
                <w:rPr>
                  <w:rFonts w:cs="Arial"/>
                </w:rPr>
                <w:id w:val="-92665357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667A64A8" w14:textId="41454DC2" w:rsidR="00747CED" w:rsidRDefault="00FE3C57" w:rsidP="00747CED">
            <w:pPr>
              <w:rPr>
                <w:rFonts w:cs="Arial"/>
              </w:rPr>
            </w:pPr>
            <w:sdt>
              <w:sdtPr>
                <w:rPr>
                  <w:rFonts w:cs="Arial"/>
                </w:rPr>
                <w:id w:val="-184916154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07467C3" w14:textId="197445E9" w:rsidR="00747CED" w:rsidRDefault="00FE3C57" w:rsidP="00747CED">
            <w:pPr>
              <w:rPr>
                <w:rFonts w:cs="Arial"/>
              </w:rPr>
            </w:pPr>
            <w:sdt>
              <w:sdtPr>
                <w:rPr>
                  <w:rFonts w:cs="Arial"/>
                </w:rPr>
                <w:id w:val="89817797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22EA288C" w14:textId="77777777" w:rsidTr="00747CED">
        <w:trPr>
          <w:trHeight w:val="624"/>
        </w:trPr>
        <w:tc>
          <w:tcPr>
            <w:tcW w:w="4106" w:type="dxa"/>
            <w:vAlign w:val="center"/>
          </w:tcPr>
          <w:p w14:paraId="12FCFEA3" w14:textId="2BC4D341" w:rsidR="00747CED" w:rsidRPr="00747CED" w:rsidRDefault="00747CED" w:rsidP="00747CED">
            <w:pPr>
              <w:jc w:val="left"/>
              <w:rPr>
                <w:rFonts w:eastAsia="Calibri" w:cs="Arial"/>
              </w:rPr>
            </w:pPr>
            <w:r w:rsidRPr="00747CED">
              <w:rPr>
                <w:rFonts w:eastAsia="Calibri" w:cs="Arial"/>
              </w:rPr>
              <w:t>Light switches are located at heights that are easy to reach for all home occupants.</w:t>
            </w:r>
          </w:p>
        </w:tc>
        <w:tc>
          <w:tcPr>
            <w:tcW w:w="1105" w:type="dxa"/>
            <w:vAlign w:val="center"/>
          </w:tcPr>
          <w:p w14:paraId="0EC168E8" w14:textId="54B79B6B" w:rsidR="00747CED" w:rsidRDefault="00FE3C57" w:rsidP="00747CED">
            <w:pPr>
              <w:rPr>
                <w:rFonts w:cs="Arial"/>
              </w:rPr>
            </w:pPr>
            <w:sdt>
              <w:sdtPr>
                <w:rPr>
                  <w:rFonts w:cs="Arial"/>
                </w:rPr>
                <w:id w:val="118764488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2CE23229" w14:textId="077C1618" w:rsidR="00747CED" w:rsidRDefault="00FE3C57" w:rsidP="00747CED">
            <w:pPr>
              <w:rPr>
                <w:rFonts w:cs="Arial"/>
              </w:rPr>
            </w:pPr>
            <w:sdt>
              <w:sdtPr>
                <w:rPr>
                  <w:rFonts w:cs="Arial"/>
                </w:rPr>
                <w:id w:val="116843639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7CAB0E9E" w14:textId="160C20DB" w:rsidR="00747CED" w:rsidRDefault="00FE3C57" w:rsidP="00747CED">
            <w:pPr>
              <w:rPr>
                <w:rFonts w:cs="Arial"/>
              </w:rPr>
            </w:pPr>
            <w:sdt>
              <w:sdtPr>
                <w:rPr>
                  <w:rFonts w:cs="Arial"/>
                </w:rPr>
                <w:id w:val="209404021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495CC30A" w14:textId="565D347C" w:rsidR="00747CED" w:rsidRDefault="00FE3C57" w:rsidP="00747CED">
            <w:pPr>
              <w:rPr>
                <w:rFonts w:cs="Arial"/>
              </w:rPr>
            </w:pPr>
            <w:sdt>
              <w:sdtPr>
                <w:rPr>
                  <w:rFonts w:cs="Arial"/>
                </w:rPr>
                <w:id w:val="-72707306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6B32DA1" w14:textId="60808BCE" w:rsidR="00747CED" w:rsidRDefault="00FE3C57" w:rsidP="00747CED">
            <w:pPr>
              <w:rPr>
                <w:rFonts w:cs="Arial"/>
              </w:rPr>
            </w:pPr>
            <w:sdt>
              <w:sdtPr>
                <w:rPr>
                  <w:rFonts w:cs="Arial"/>
                </w:rPr>
                <w:id w:val="-158714356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56F2951E" w14:textId="77777777" w:rsidTr="00747CED">
        <w:trPr>
          <w:trHeight w:val="624"/>
        </w:trPr>
        <w:tc>
          <w:tcPr>
            <w:tcW w:w="4106" w:type="dxa"/>
            <w:vAlign w:val="center"/>
          </w:tcPr>
          <w:p w14:paraId="6CDDFD71" w14:textId="04C4EBD7" w:rsidR="00747CED" w:rsidRPr="00747CED" w:rsidRDefault="00747CED" w:rsidP="00747CED">
            <w:pPr>
              <w:jc w:val="left"/>
              <w:rPr>
                <w:rFonts w:eastAsia="Calibri" w:cs="Arial"/>
              </w:rPr>
            </w:pPr>
            <w:r w:rsidRPr="00747CED">
              <w:rPr>
                <w:rFonts w:eastAsia="Calibri" w:cs="Arial"/>
              </w:rPr>
              <w:t>Occupants are able to easily and independently open and close doors.</w:t>
            </w:r>
          </w:p>
        </w:tc>
        <w:tc>
          <w:tcPr>
            <w:tcW w:w="1105" w:type="dxa"/>
            <w:vAlign w:val="center"/>
          </w:tcPr>
          <w:p w14:paraId="1B50BD0F" w14:textId="22272A19" w:rsidR="00747CED" w:rsidRDefault="00FE3C57" w:rsidP="00747CED">
            <w:pPr>
              <w:rPr>
                <w:rFonts w:cs="Arial"/>
              </w:rPr>
            </w:pPr>
            <w:sdt>
              <w:sdtPr>
                <w:rPr>
                  <w:rFonts w:cs="Arial"/>
                </w:rPr>
                <w:id w:val="209713128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0371A1C6" w14:textId="63267210" w:rsidR="00747CED" w:rsidRDefault="00FE3C57" w:rsidP="00747CED">
            <w:pPr>
              <w:rPr>
                <w:rFonts w:cs="Arial"/>
              </w:rPr>
            </w:pPr>
            <w:sdt>
              <w:sdtPr>
                <w:rPr>
                  <w:rFonts w:cs="Arial"/>
                </w:rPr>
                <w:id w:val="-149232637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5" w:type="dxa"/>
            <w:vAlign w:val="center"/>
          </w:tcPr>
          <w:p w14:paraId="3957DAAF" w14:textId="34D35662" w:rsidR="00747CED" w:rsidRDefault="00FE3C57" w:rsidP="00747CED">
            <w:pPr>
              <w:rPr>
                <w:rFonts w:cs="Arial"/>
              </w:rPr>
            </w:pPr>
            <w:sdt>
              <w:sdtPr>
                <w:rPr>
                  <w:rFonts w:cs="Arial"/>
                </w:rPr>
                <w:id w:val="-144467545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7A6D366D" w14:textId="38AD7799" w:rsidR="00747CED" w:rsidRDefault="00FE3C57" w:rsidP="00747CED">
            <w:pPr>
              <w:rPr>
                <w:rFonts w:cs="Arial"/>
              </w:rPr>
            </w:pPr>
            <w:sdt>
              <w:sdtPr>
                <w:rPr>
                  <w:rFonts w:cs="Arial"/>
                </w:rPr>
                <w:id w:val="1431005800"/>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106" w:type="dxa"/>
            <w:vAlign w:val="center"/>
          </w:tcPr>
          <w:p w14:paraId="4ACDDF0B" w14:textId="0351AFC2" w:rsidR="00747CED" w:rsidRDefault="00FE3C57" w:rsidP="00747CED">
            <w:pPr>
              <w:rPr>
                <w:rFonts w:cs="Arial"/>
              </w:rPr>
            </w:pPr>
            <w:sdt>
              <w:sdtPr>
                <w:rPr>
                  <w:rFonts w:cs="Arial"/>
                </w:rPr>
                <w:id w:val="-475907586"/>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bl>
    <w:p w14:paraId="40DA7032" w14:textId="77777777" w:rsidR="00747CED" w:rsidRDefault="00747CED" w:rsidP="00747CED">
      <w:pPr>
        <w:pBdr>
          <w:bottom w:val="single" w:sz="4" w:space="1" w:color="auto"/>
        </w:pBdr>
        <w:spacing w:before="240" w:after="120"/>
        <w:rPr>
          <w:rFonts w:cs="Arial"/>
        </w:rPr>
      </w:pPr>
    </w:p>
    <w:p w14:paraId="18203BD7" w14:textId="0927A676" w:rsidR="00302840" w:rsidRDefault="00747CED" w:rsidP="00302840">
      <w:pPr>
        <w:spacing w:before="240" w:after="120"/>
        <w:rPr>
          <w:rFonts w:cs="Arial"/>
        </w:rPr>
      </w:pPr>
      <w:r>
        <w:rPr>
          <w:rFonts w:cs="Arial"/>
        </w:rPr>
        <w:t>21.</w:t>
      </w:r>
      <w:r>
        <w:rPr>
          <w:rFonts w:cs="Arial"/>
        </w:rPr>
        <w:tab/>
      </w:r>
      <w:r w:rsidR="00302840" w:rsidRPr="00887A08">
        <w:rPr>
          <w:rFonts w:cs="Arial"/>
        </w:rPr>
        <w:t>What other Performance Requirements shou</w:t>
      </w:r>
      <w:r>
        <w:rPr>
          <w:rFonts w:cs="Arial"/>
        </w:rPr>
        <w:t xml:space="preserve">ld be considered (if any)? </w:t>
      </w:r>
    </w:p>
    <w:p w14:paraId="5EB96369" w14:textId="2A149A33" w:rsidR="00747CED" w:rsidRPr="00887A08" w:rsidRDefault="00747CED" w:rsidP="00747CED">
      <w:pPr>
        <w:pBdr>
          <w:bottom w:val="single" w:sz="4" w:space="1" w:color="auto"/>
        </w:pBdr>
        <w:spacing w:before="240" w:after="120"/>
        <w:rPr>
          <w:rFonts w:cs="Arial"/>
        </w:rPr>
      </w:pPr>
      <w:r>
        <w:rPr>
          <w:rFonts w:cs="Arial"/>
        </w:rPr>
        <w:tab/>
      </w:r>
      <w:sdt>
        <w:sdtPr>
          <w:rPr>
            <w:rFonts w:cs="Arial"/>
          </w:rPr>
          <w:id w:val="620895415"/>
          <w:placeholder>
            <w:docPart w:val="9D535D28DABD4540BE2C6E36288E9732"/>
          </w:placeholder>
          <w:showingPlcHdr/>
          <w:text/>
        </w:sdtPr>
        <w:sdtEndPr/>
        <w:sdtContent>
          <w:r w:rsidRPr="004D55AA">
            <w:rPr>
              <w:rStyle w:val="PlaceholderText"/>
              <w:rFonts w:cs="Arial"/>
              <w:i/>
            </w:rPr>
            <w:t>Click here to enter text.</w:t>
          </w:r>
        </w:sdtContent>
      </w:sdt>
    </w:p>
    <w:p w14:paraId="27A45989" w14:textId="0731E00C" w:rsidR="00302840" w:rsidRDefault="00302840" w:rsidP="00302840">
      <w:pPr>
        <w:spacing w:before="240" w:after="120"/>
        <w:rPr>
          <w:rFonts w:cs="Arial"/>
        </w:rPr>
      </w:pPr>
      <w:r>
        <w:rPr>
          <w:rFonts w:cs="Arial"/>
        </w:rPr>
        <w:t xml:space="preserve">22: </w:t>
      </w:r>
      <w:r w:rsidR="00747CED">
        <w:rPr>
          <w:rFonts w:cs="Arial"/>
        </w:rPr>
        <w:tab/>
      </w:r>
      <w:r w:rsidRPr="00887A08">
        <w:rPr>
          <w:rFonts w:cs="Arial"/>
        </w:rPr>
        <w:t xml:space="preserve">To what proportion of Class 1 (houses) and Class 2 (apartments) buildings should </w:t>
      </w:r>
      <w:r w:rsidR="00747CED">
        <w:rPr>
          <w:rFonts w:cs="Arial"/>
        </w:rPr>
        <w:tab/>
      </w:r>
      <w:r w:rsidRPr="00887A08">
        <w:rPr>
          <w:rFonts w:cs="Arial"/>
        </w:rPr>
        <w:t>these features apply?</w:t>
      </w:r>
    </w:p>
    <w:p w14:paraId="4FBDABEA" w14:textId="5934AA2E" w:rsidR="001A3148" w:rsidRDefault="001A3148" w:rsidP="00302840">
      <w:pPr>
        <w:spacing w:before="240" w:after="120"/>
        <w:rPr>
          <w:rFonts w:cs="Arial"/>
          <w:i/>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the table below</w:t>
      </w:r>
      <w:r w:rsidR="0064120C">
        <w:rPr>
          <w:rFonts w:cs="Arial"/>
          <w:i/>
        </w:rPr>
        <w:t>.</w:t>
      </w:r>
    </w:p>
    <w:p w14:paraId="328FE82C" w14:textId="77777777" w:rsidR="00402BC1" w:rsidRPr="0064120C" w:rsidRDefault="00402BC1" w:rsidP="00302840">
      <w:pPr>
        <w:spacing w:before="240" w:after="120"/>
        <w:rPr>
          <w:rFonts w:cs="Arial"/>
          <w:i/>
        </w:rPr>
      </w:pPr>
    </w:p>
    <w:tbl>
      <w:tblPr>
        <w:tblStyle w:val="TableGrid"/>
        <w:tblW w:w="9634" w:type="dxa"/>
        <w:tblLook w:val="04A0" w:firstRow="1" w:lastRow="0" w:firstColumn="1" w:lastColumn="0" w:noHBand="0" w:noVBand="1"/>
        <w:tblCaption w:val="Question 22 response table"/>
      </w:tblPr>
      <w:tblGrid>
        <w:gridCol w:w="4546"/>
        <w:gridCol w:w="1017"/>
        <w:gridCol w:w="1018"/>
        <w:gridCol w:w="1017"/>
        <w:gridCol w:w="1018"/>
        <w:gridCol w:w="1018"/>
      </w:tblGrid>
      <w:tr w:rsidR="00302840" w:rsidRPr="00887A08" w14:paraId="4D4A8B98" w14:textId="77777777" w:rsidTr="000D3298">
        <w:trPr>
          <w:tblHeader/>
        </w:trPr>
        <w:tc>
          <w:tcPr>
            <w:tcW w:w="4546" w:type="dxa"/>
            <w:shd w:val="clear" w:color="auto" w:fill="D9D9D9" w:themeFill="background1" w:themeFillShade="D9"/>
          </w:tcPr>
          <w:p w14:paraId="670B999C" w14:textId="58C1AF0A" w:rsidR="00302840" w:rsidRPr="00747CED" w:rsidRDefault="00747CED" w:rsidP="00510CF9">
            <w:pPr>
              <w:rPr>
                <w:rFonts w:cs="Arial"/>
                <w:b/>
              </w:rPr>
            </w:pPr>
            <w:r w:rsidRPr="00747CED">
              <w:rPr>
                <w:rFonts w:cs="Arial"/>
                <w:b/>
              </w:rPr>
              <w:t>Building Class</w:t>
            </w:r>
          </w:p>
        </w:tc>
        <w:tc>
          <w:tcPr>
            <w:tcW w:w="1017" w:type="dxa"/>
            <w:shd w:val="clear" w:color="auto" w:fill="D9D9D9" w:themeFill="background1" w:themeFillShade="D9"/>
          </w:tcPr>
          <w:p w14:paraId="4310E265" w14:textId="77777777" w:rsidR="00302840" w:rsidRPr="00747CED" w:rsidRDefault="00302840" w:rsidP="00510CF9">
            <w:pPr>
              <w:jc w:val="center"/>
              <w:rPr>
                <w:rFonts w:cs="Arial"/>
                <w:b/>
              </w:rPr>
            </w:pPr>
            <w:r w:rsidRPr="00747CED">
              <w:rPr>
                <w:rFonts w:cs="Arial"/>
                <w:b/>
              </w:rPr>
              <w:t>None</w:t>
            </w:r>
          </w:p>
        </w:tc>
        <w:tc>
          <w:tcPr>
            <w:tcW w:w="1018" w:type="dxa"/>
            <w:shd w:val="clear" w:color="auto" w:fill="D9D9D9" w:themeFill="background1" w:themeFillShade="D9"/>
          </w:tcPr>
          <w:p w14:paraId="79CA05AB" w14:textId="77777777" w:rsidR="00302840" w:rsidRPr="00747CED" w:rsidRDefault="00302840" w:rsidP="00510CF9">
            <w:pPr>
              <w:jc w:val="center"/>
              <w:rPr>
                <w:rFonts w:cs="Arial"/>
                <w:b/>
              </w:rPr>
            </w:pPr>
            <w:r w:rsidRPr="00747CED">
              <w:rPr>
                <w:rFonts w:cs="Arial"/>
                <w:b/>
              </w:rPr>
              <w:t>Some</w:t>
            </w:r>
          </w:p>
        </w:tc>
        <w:tc>
          <w:tcPr>
            <w:tcW w:w="1017" w:type="dxa"/>
            <w:shd w:val="clear" w:color="auto" w:fill="D9D9D9" w:themeFill="background1" w:themeFillShade="D9"/>
          </w:tcPr>
          <w:p w14:paraId="56486E2D" w14:textId="77777777" w:rsidR="00302840" w:rsidRPr="00747CED" w:rsidRDefault="00302840" w:rsidP="00510CF9">
            <w:pPr>
              <w:jc w:val="center"/>
              <w:rPr>
                <w:rFonts w:cs="Arial"/>
                <w:b/>
              </w:rPr>
            </w:pPr>
            <w:r w:rsidRPr="00747CED">
              <w:rPr>
                <w:rFonts w:cs="Arial"/>
                <w:b/>
              </w:rPr>
              <w:t>Half</w:t>
            </w:r>
          </w:p>
        </w:tc>
        <w:tc>
          <w:tcPr>
            <w:tcW w:w="1018" w:type="dxa"/>
            <w:shd w:val="clear" w:color="auto" w:fill="D9D9D9" w:themeFill="background1" w:themeFillShade="D9"/>
          </w:tcPr>
          <w:p w14:paraId="33B79455" w14:textId="77777777" w:rsidR="00302840" w:rsidRPr="00747CED" w:rsidRDefault="00302840" w:rsidP="00510CF9">
            <w:pPr>
              <w:jc w:val="center"/>
              <w:rPr>
                <w:rFonts w:cs="Arial"/>
                <w:b/>
              </w:rPr>
            </w:pPr>
            <w:r w:rsidRPr="00747CED">
              <w:rPr>
                <w:rFonts w:cs="Arial"/>
                <w:b/>
              </w:rPr>
              <w:t>Most</w:t>
            </w:r>
          </w:p>
        </w:tc>
        <w:tc>
          <w:tcPr>
            <w:tcW w:w="1018" w:type="dxa"/>
            <w:shd w:val="clear" w:color="auto" w:fill="D9D9D9" w:themeFill="background1" w:themeFillShade="D9"/>
          </w:tcPr>
          <w:p w14:paraId="24C24E82" w14:textId="77777777" w:rsidR="00302840" w:rsidRPr="00747CED" w:rsidRDefault="00302840" w:rsidP="00510CF9">
            <w:pPr>
              <w:jc w:val="center"/>
              <w:rPr>
                <w:rFonts w:cs="Arial"/>
                <w:b/>
              </w:rPr>
            </w:pPr>
            <w:r w:rsidRPr="00747CED">
              <w:rPr>
                <w:rFonts w:cs="Arial"/>
                <w:b/>
              </w:rPr>
              <w:t>All</w:t>
            </w:r>
          </w:p>
        </w:tc>
      </w:tr>
      <w:tr w:rsidR="00747CED" w:rsidRPr="00887A08" w14:paraId="57A2C119" w14:textId="77777777" w:rsidTr="00747CED">
        <w:tc>
          <w:tcPr>
            <w:tcW w:w="4546" w:type="dxa"/>
          </w:tcPr>
          <w:p w14:paraId="3FDA332A" w14:textId="35510013" w:rsidR="00747CED" w:rsidRPr="00887A08" w:rsidRDefault="00747CED" w:rsidP="00747CED">
            <w:pPr>
              <w:rPr>
                <w:rFonts w:cs="Arial"/>
              </w:rPr>
            </w:pPr>
            <w:r w:rsidRPr="00887A08">
              <w:rPr>
                <w:rFonts w:cs="Arial"/>
              </w:rPr>
              <w:t>Class 1</w:t>
            </w:r>
            <w:r w:rsidR="00F72E3D">
              <w:rPr>
                <w:rFonts w:cs="Arial"/>
              </w:rPr>
              <w:t>a</w:t>
            </w:r>
            <w:r w:rsidRPr="00887A08">
              <w:rPr>
                <w:rFonts w:cs="Arial"/>
              </w:rPr>
              <w:t xml:space="preserve"> buildings (houses)</w:t>
            </w:r>
          </w:p>
        </w:tc>
        <w:tc>
          <w:tcPr>
            <w:tcW w:w="1017" w:type="dxa"/>
            <w:vAlign w:val="center"/>
          </w:tcPr>
          <w:p w14:paraId="30E9B025" w14:textId="19F2ACA1" w:rsidR="00747CED" w:rsidRPr="00887A08" w:rsidRDefault="00FE3C57" w:rsidP="00747CED">
            <w:pPr>
              <w:rPr>
                <w:rFonts w:cs="Arial"/>
              </w:rPr>
            </w:pPr>
            <w:sdt>
              <w:sdtPr>
                <w:rPr>
                  <w:rFonts w:cs="Arial"/>
                </w:rPr>
                <w:id w:val="88282333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101745C6" w14:textId="0DD5518A" w:rsidR="00747CED" w:rsidRPr="00887A08" w:rsidRDefault="00FE3C57" w:rsidP="00747CED">
            <w:pPr>
              <w:rPr>
                <w:rFonts w:cs="Arial"/>
              </w:rPr>
            </w:pPr>
            <w:sdt>
              <w:sdtPr>
                <w:rPr>
                  <w:rFonts w:cs="Arial"/>
                </w:rPr>
                <w:id w:val="-194699001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7" w:type="dxa"/>
            <w:vAlign w:val="center"/>
          </w:tcPr>
          <w:p w14:paraId="67DC7799" w14:textId="4BA5E5B0" w:rsidR="00747CED" w:rsidRPr="00887A08" w:rsidRDefault="00FE3C57" w:rsidP="00747CED">
            <w:pPr>
              <w:rPr>
                <w:rFonts w:cs="Arial"/>
              </w:rPr>
            </w:pPr>
            <w:sdt>
              <w:sdtPr>
                <w:rPr>
                  <w:rFonts w:cs="Arial"/>
                </w:rPr>
                <w:id w:val="1258566313"/>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0FE50B0B" w14:textId="36696083" w:rsidR="00747CED" w:rsidRPr="00887A08" w:rsidRDefault="00FE3C57" w:rsidP="00747CED">
            <w:pPr>
              <w:rPr>
                <w:rFonts w:cs="Arial"/>
              </w:rPr>
            </w:pPr>
            <w:sdt>
              <w:sdtPr>
                <w:rPr>
                  <w:rFonts w:cs="Arial"/>
                </w:rPr>
                <w:id w:val="-789905788"/>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60E54C08" w14:textId="03A857B0" w:rsidR="00747CED" w:rsidRPr="00887A08" w:rsidRDefault="00FE3C57" w:rsidP="00747CED">
            <w:pPr>
              <w:rPr>
                <w:rFonts w:cs="Arial"/>
              </w:rPr>
            </w:pPr>
            <w:sdt>
              <w:sdtPr>
                <w:rPr>
                  <w:rFonts w:cs="Arial"/>
                </w:rPr>
                <w:id w:val="-203857380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r w:rsidR="00747CED" w:rsidRPr="00887A08" w14:paraId="7DC17E14" w14:textId="77777777" w:rsidTr="00747CED">
        <w:tc>
          <w:tcPr>
            <w:tcW w:w="4546" w:type="dxa"/>
          </w:tcPr>
          <w:p w14:paraId="19D6AF08" w14:textId="77777777" w:rsidR="00747CED" w:rsidRPr="00887A08" w:rsidRDefault="00747CED" w:rsidP="00747CED">
            <w:pPr>
              <w:rPr>
                <w:rFonts w:cs="Arial"/>
              </w:rPr>
            </w:pPr>
            <w:r w:rsidRPr="00887A08">
              <w:rPr>
                <w:rFonts w:cs="Arial"/>
              </w:rPr>
              <w:t>Class 2 buildings (apartments)</w:t>
            </w:r>
          </w:p>
        </w:tc>
        <w:tc>
          <w:tcPr>
            <w:tcW w:w="1017" w:type="dxa"/>
            <w:vAlign w:val="center"/>
          </w:tcPr>
          <w:p w14:paraId="5C057C4E" w14:textId="4EA74AAF" w:rsidR="00747CED" w:rsidRPr="00887A08" w:rsidRDefault="00FE3C57" w:rsidP="00747CED">
            <w:pPr>
              <w:rPr>
                <w:rFonts w:cs="Arial"/>
              </w:rPr>
            </w:pPr>
            <w:sdt>
              <w:sdtPr>
                <w:rPr>
                  <w:rFonts w:cs="Arial"/>
                </w:rPr>
                <w:id w:val="-66370568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597E913A" w14:textId="72F21E78" w:rsidR="00747CED" w:rsidRPr="00887A08" w:rsidRDefault="00FE3C57" w:rsidP="00747CED">
            <w:pPr>
              <w:rPr>
                <w:rFonts w:cs="Arial"/>
              </w:rPr>
            </w:pPr>
            <w:sdt>
              <w:sdtPr>
                <w:rPr>
                  <w:rFonts w:cs="Arial"/>
                </w:rPr>
                <w:id w:val="97681628"/>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7" w:type="dxa"/>
            <w:vAlign w:val="center"/>
          </w:tcPr>
          <w:p w14:paraId="6796568E" w14:textId="2473D5F3" w:rsidR="00747CED" w:rsidRPr="00887A08" w:rsidRDefault="00FE3C57" w:rsidP="00747CED">
            <w:pPr>
              <w:rPr>
                <w:rFonts w:cs="Arial"/>
              </w:rPr>
            </w:pPr>
            <w:sdt>
              <w:sdtPr>
                <w:rPr>
                  <w:rFonts w:cs="Arial"/>
                </w:rPr>
                <w:id w:val="-1693525499"/>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0D83626D" w14:textId="69071B09" w:rsidR="00747CED" w:rsidRPr="00887A08" w:rsidRDefault="00FE3C57" w:rsidP="00747CED">
            <w:pPr>
              <w:rPr>
                <w:rFonts w:cs="Arial"/>
              </w:rPr>
            </w:pPr>
            <w:sdt>
              <w:sdtPr>
                <w:rPr>
                  <w:rFonts w:cs="Arial"/>
                </w:rPr>
                <w:id w:val="365341162"/>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c>
          <w:tcPr>
            <w:tcW w:w="1018" w:type="dxa"/>
            <w:vAlign w:val="center"/>
          </w:tcPr>
          <w:p w14:paraId="0463A51A" w14:textId="7B367DEF" w:rsidR="00747CED" w:rsidRPr="00887A08" w:rsidRDefault="00FE3C57" w:rsidP="00747CED">
            <w:pPr>
              <w:rPr>
                <w:rFonts w:cs="Arial"/>
              </w:rPr>
            </w:pPr>
            <w:sdt>
              <w:sdtPr>
                <w:rPr>
                  <w:rFonts w:cs="Arial"/>
                </w:rPr>
                <w:id w:val="-1588999265"/>
                <w14:checkbox>
                  <w14:checked w14:val="0"/>
                  <w14:checkedState w14:val="2612" w14:font="MS Gothic"/>
                  <w14:uncheckedState w14:val="2610" w14:font="MS Gothic"/>
                </w14:checkbox>
              </w:sdtPr>
              <w:sdtEndPr/>
              <w:sdtContent>
                <w:r w:rsidR="00747CED">
                  <w:rPr>
                    <w:rFonts w:ascii="MS Gothic" w:eastAsia="MS Gothic" w:hAnsi="MS Gothic" w:cs="Arial" w:hint="eastAsia"/>
                  </w:rPr>
                  <w:t>☐</w:t>
                </w:r>
              </w:sdtContent>
            </w:sdt>
          </w:p>
        </w:tc>
      </w:tr>
    </w:tbl>
    <w:p w14:paraId="4422EA8C" w14:textId="77777777" w:rsidR="001A3148" w:rsidRDefault="001A3148" w:rsidP="001A3148">
      <w:pPr>
        <w:pBdr>
          <w:bottom w:val="single" w:sz="4" w:space="1" w:color="auto"/>
        </w:pBdr>
        <w:spacing w:before="240" w:after="120"/>
        <w:rPr>
          <w:rFonts w:cs="Arial"/>
        </w:rPr>
      </w:pPr>
    </w:p>
    <w:p w14:paraId="030EC8D8" w14:textId="0A8CE337" w:rsidR="00302840" w:rsidRDefault="001A3148" w:rsidP="00302840">
      <w:pPr>
        <w:spacing w:before="240" w:after="120"/>
        <w:rPr>
          <w:rFonts w:cs="Arial"/>
        </w:rPr>
      </w:pPr>
      <w:r>
        <w:rPr>
          <w:rFonts w:cs="Arial"/>
        </w:rPr>
        <w:t>23.</w:t>
      </w:r>
      <w:r>
        <w:rPr>
          <w:rFonts w:cs="Arial"/>
        </w:rPr>
        <w:tab/>
      </w:r>
      <w:r w:rsidR="00302840" w:rsidRPr="00887A08">
        <w:rPr>
          <w:rFonts w:cs="Arial"/>
        </w:rPr>
        <w:t xml:space="preserve">To what extent do you agree or disagree that the NCC should be modified to include </w:t>
      </w:r>
      <w:r>
        <w:rPr>
          <w:rFonts w:cs="Arial"/>
        </w:rPr>
        <w:tab/>
      </w:r>
      <w:r w:rsidR="00302840" w:rsidRPr="00887A08">
        <w:rPr>
          <w:rFonts w:cs="Arial"/>
        </w:rPr>
        <w:t>minimum standards for accessible housing?</w:t>
      </w:r>
    </w:p>
    <w:p w14:paraId="2E37C1A7" w14:textId="08C25D46" w:rsidR="001A3148" w:rsidRDefault="001A3148" w:rsidP="00302840">
      <w:pPr>
        <w:spacing w:before="240" w:after="120"/>
        <w:rPr>
          <w:rFonts w:cs="Arial"/>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 xml:space="preserve">the table below, where ‘1’ means ‘strongly disagree’ and </w:t>
      </w:r>
      <w:r>
        <w:rPr>
          <w:rFonts w:cs="Arial"/>
          <w:i/>
        </w:rPr>
        <w:tab/>
        <w:t>‘</w:t>
      </w:r>
      <w:r w:rsidRPr="00900AD6">
        <w:rPr>
          <w:rFonts w:cs="Arial"/>
          <w:i/>
        </w:rPr>
        <w:t>5</w:t>
      </w:r>
      <w:r>
        <w:rPr>
          <w:rFonts w:cs="Arial"/>
          <w:i/>
        </w:rPr>
        <w:t>’ means ‘strongly agree’.</w:t>
      </w:r>
    </w:p>
    <w:tbl>
      <w:tblPr>
        <w:tblStyle w:val="TableGrid"/>
        <w:tblW w:w="9634" w:type="dxa"/>
        <w:tblLayout w:type="fixed"/>
        <w:tblLook w:val="04A0" w:firstRow="1" w:lastRow="0" w:firstColumn="1" w:lastColumn="0" w:noHBand="0" w:noVBand="1"/>
        <w:tblCaption w:val="Question 23 response table"/>
      </w:tblPr>
      <w:tblGrid>
        <w:gridCol w:w="4106"/>
        <w:gridCol w:w="1105"/>
        <w:gridCol w:w="1106"/>
        <w:gridCol w:w="1105"/>
        <w:gridCol w:w="1106"/>
        <w:gridCol w:w="1106"/>
      </w:tblGrid>
      <w:tr w:rsidR="001A3148" w:rsidRPr="00900AD6" w14:paraId="4B1266F0" w14:textId="77777777" w:rsidTr="000D3298">
        <w:trPr>
          <w:trHeight w:val="340"/>
          <w:tblHeader/>
        </w:trPr>
        <w:tc>
          <w:tcPr>
            <w:tcW w:w="4106" w:type="dxa"/>
            <w:shd w:val="clear" w:color="auto" w:fill="D9D9D9" w:themeFill="background1" w:themeFillShade="D9"/>
            <w:vAlign w:val="center"/>
          </w:tcPr>
          <w:p w14:paraId="6068DA59" w14:textId="77777777" w:rsidR="001A3148" w:rsidRPr="00900AD6" w:rsidRDefault="001A3148" w:rsidP="004925B5">
            <w:pPr>
              <w:rPr>
                <w:rFonts w:cs="Arial"/>
                <w:b/>
              </w:rPr>
            </w:pPr>
            <w:r w:rsidRPr="00900AD6">
              <w:rPr>
                <w:rFonts w:cs="Arial"/>
                <w:b/>
              </w:rPr>
              <w:t>Statement</w:t>
            </w:r>
          </w:p>
        </w:tc>
        <w:tc>
          <w:tcPr>
            <w:tcW w:w="1105" w:type="dxa"/>
            <w:shd w:val="clear" w:color="auto" w:fill="D9D9D9" w:themeFill="background1" w:themeFillShade="D9"/>
            <w:vAlign w:val="center"/>
          </w:tcPr>
          <w:p w14:paraId="318D7AE6" w14:textId="77777777" w:rsidR="001A3148" w:rsidRPr="00900AD6" w:rsidRDefault="001A3148" w:rsidP="004925B5">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1BB098FB" w14:textId="77777777" w:rsidR="001A3148" w:rsidRPr="00900AD6" w:rsidRDefault="001A3148" w:rsidP="004925B5">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60E99D56" w14:textId="77777777" w:rsidR="001A3148" w:rsidRPr="00900AD6" w:rsidRDefault="001A3148" w:rsidP="004925B5">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7D45E95E" w14:textId="77777777" w:rsidR="001A3148" w:rsidRPr="00900AD6" w:rsidRDefault="001A3148" w:rsidP="004925B5">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7E16C863" w14:textId="77777777" w:rsidR="001A3148" w:rsidRPr="00900AD6" w:rsidRDefault="001A3148" w:rsidP="004925B5">
            <w:pPr>
              <w:jc w:val="center"/>
              <w:rPr>
                <w:rFonts w:cs="Arial"/>
                <w:b/>
                <w:sz w:val="20"/>
                <w:szCs w:val="20"/>
              </w:rPr>
            </w:pPr>
            <w:r w:rsidRPr="00900AD6">
              <w:rPr>
                <w:rFonts w:cs="Arial"/>
                <w:b/>
                <w:sz w:val="20"/>
                <w:szCs w:val="20"/>
              </w:rPr>
              <w:t>5</w:t>
            </w:r>
          </w:p>
        </w:tc>
      </w:tr>
      <w:tr w:rsidR="001A3148" w:rsidRPr="00887A08" w14:paraId="45FD25ED" w14:textId="77777777" w:rsidTr="004925B5">
        <w:trPr>
          <w:trHeight w:val="624"/>
        </w:trPr>
        <w:tc>
          <w:tcPr>
            <w:tcW w:w="4106" w:type="dxa"/>
            <w:vAlign w:val="center"/>
          </w:tcPr>
          <w:p w14:paraId="1C03F176" w14:textId="77777777" w:rsidR="001A3148" w:rsidRPr="00887A08" w:rsidRDefault="001A3148" w:rsidP="004925B5">
            <w:pPr>
              <w:jc w:val="left"/>
              <w:rPr>
                <w:rFonts w:cs="Arial"/>
              </w:rPr>
            </w:pPr>
            <w:r>
              <w:rPr>
                <w:rFonts w:cs="Arial"/>
              </w:rPr>
              <w:t>The primary focus should be on addressing mobility-related issues.</w:t>
            </w:r>
          </w:p>
        </w:tc>
        <w:tc>
          <w:tcPr>
            <w:tcW w:w="1105" w:type="dxa"/>
            <w:vAlign w:val="center"/>
          </w:tcPr>
          <w:p w14:paraId="5E530166" w14:textId="77777777" w:rsidR="001A3148" w:rsidRPr="00887A08" w:rsidRDefault="00FE3C57" w:rsidP="004925B5">
            <w:pPr>
              <w:rPr>
                <w:rFonts w:cs="Arial"/>
              </w:rPr>
            </w:pPr>
            <w:sdt>
              <w:sdtPr>
                <w:rPr>
                  <w:rFonts w:cs="Arial"/>
                </w:rPr>
                <w:id w:val="983664059"/>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31699579" w14:textId="77777777" w:rsidR="001A3148" w:rsidRPr="00887A08" w:rsidRDefault="00FE3C57" w:rsidP="004925B5">
            <w:pPr>
              <w:rPr>
                <w:rFonts w:cs="Arial"/>
              </w:rPr>
            </w:pPr>
            <w:sdt>
              <w:sdtPr>
                <w:rPr>
                  <w:rFonts w:cs="Arial"/>
                </w:rPr>
                <w:id w:val="-1376381572"/>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3A98209E" w14:textId="77777777" w:rsidR="001A3148" w:rsidRPr="00887A08" w:rsidRDefault="00FE3C57" w:rsidP="004925B5">
            <w:pPr>
              <w:rPr>
                <w:rFonts w:cs="Arial"/>
              </w:rPr>
            </w:pPr>
            <w:sdt>
              <w:sdtPr>
                <w:rPr>
                  <w:rFonts w:cs="Arial"/>
                </w:rPr>
                <w:id w:val="2114241635"/>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7928292F" w14:textId="77777777" w:rsidR="001A3148" w:rsidRPr="00887A08" w:rsidRDefault="00FE3C57" w:rsidP="004925B5">
            <w:pPr>
              <w:rPr>
                <w:rFonts w:cs="Arial"/>
              </w:rPr>
            </w:pPr>
            <w:sdt>
              <w:sdtPr>
                <w:rPr>
                  <w:rFonts w:cs="Arial"/>
                </w:rPr>
                <w:id w:val="1986194662"/>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14C0DD79" w14:textId="77777777" w:rsidR="001A3148" w:rsidRPr="00887A08" w:rsidRDefault="00FE3C57" w:rsidP="004925B5">
            <w:pPr>
              <w:rPr>
                <w:rFonts w:cs="Arial"/>
              </w:rPr>
            </w:pPr>
            <w:sdt>
              <w:sdtPr>
                <w:rPr>
                  <w:rFonts w:cs="Arial"/>
                </w:rPr>
                <w:id w:val="-1294899883"/>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bl>
    <w:p w14:paraId="123635BA" w14:textId="31574238" w:rsidR="00302840" w:rsidRPr="001A3148" w:rsidRDefault="00302840" w:rsidP="001A3148">
      <w:pPr>
        <w:pBdr>
          <w:bottom w:val="single" w:sz="4" w:space="1" w:color="auto"/>
        </w:pBdr>
        <w:spacing w:before="240" w:after="120"/>
        <w:rPr>
          <w:rFonts w:cs="Arial"/>
        </w:rPr>
      </w:pPr>
    </w:p>
    <w:p w14:paraId="45CC9AA4" w14:textId="706AD1AD" w:rsidR="001A3148" w:rsidRDefault="001A3148" w:rsidP="001A3148">
      <w:pPr>
        <w:pStyle w:val="Heading2"/>
      </w:pPr>
      <w:r>
        <w:t>Questions about the Potential Benefits of Accessible Housing</w:t>
      </w:r>
    </w:p>
    <w:p w14:paraId="61B824DB" w14:textId="4F2A0F6E" w:rsidR="001A3148" w:rsidRPr="001A3148" w:rsidRDefault="001A3148" w:rsidP="001A3148">
      <w:r>
        <w:t>These questions are about the potential benefits of setting a minimum accessibility standard for housing.</w:t>
      </w:r>
    </w:p>
    <w:p w14:paraId="5E8DF7B2" w14:textId="792947B2" w:rsidR="00302840" w:rsidRDefault="001A3148" w:rsidP="00302840">
      <w:pPr>
        <w:spacing w:before="240" w:after="120"/>
        <w:rPr>
          <w:rFonts w:cs="Arial"/>
        </w:rPr>
      </w:pPr>
      <w:r>
        <w:rPr>
          <w:rFonts w:cs="Arial"/>
        </w:rPr>
        <w:t>24.</w:t>
      </w:r>
      <w:r>
        <w:rPr>
          <w:rFonts w:cs="Arial"/>
        </w:rPr>
        <w:tab/>
      </w:r>
      <w:r w:rsidR="00302840" w:rsidRPr="00887A08">
        <w:rPr>
          <w:rFonts w:cs="Arial"/>
        </w:rPr>
        <w:t>Ple</w:t>
      </w:r>
      <w:r>
        <w:rPr>
          <w:rFonts w:cs="Arial"/>
        </w:rPr>
        <w:t>ase refer to your response at question</w:t>
      </w:r>
      <w:r w:rsidR="00333065">
        <w:rPr>
          <w:rFonts w:cs="Arial"/>
        </w:rPr>
        <w:t>s 20 and</w:t>
      </w:r>
      <w:r>
        <w:rPr>
          <w:rFonts w:cs="Arial"/>
        </w:rPr>
        <w:t xml:space="preserve"> </w:t>
      </w:r>
      <w:r w:rsidR="00302840">
        <w:rPr>
          <w:rFonts w:cs="Arial"/>
        </w:rPr>
        <w:t>21</w:t>
      </w:r>
      <w:r w:rsidR="00302840" w:rsidRPr="00887A08">
        <w:rPr>
          <w:rFonts w:cs="Arial"/>
        </w:rPr>
        <w:t xml:space="preserve">.  If your response </w:t>
      </w:r>
      <w:r>
        <w:rPr>
          <w:rFonts w:cs="Arial"/>
        </w:rPr>
        <w:t>to that question</w:t>
      </w:r>
      <w:r w:rsidR="00302840" w:rsidRPr="00887A08">
        <w:rPr>
          <w:rFonts w:cs="Arial"/>
        </w:rPr>
        <w:t xml:space="preserve"> </w:t>
      </w:r>
      <w:r w:rsidR="00333065">
        <w:rPr>
          <w:rFonts w:cs="Arial"/>
        </w:rPr>
        <w:tab/>
      </w:r>
      <w:r w:rsidR="00302840" w:rsidRPr="00887A08">
        <w:rPr>
          <w:rFonts w:cs="Arial"/>
        </w:rPr>
        <w:t xml:space="preserve">was implemented, to what extent do you agree or disagree that the following </w:t>
      </w:r>
      <w:r w:rsidR="00333065">
        <w:rPr>
          <w:rFonts w:cs="Arial"/>
        </w:rPr>
        <w:tab/>
      </w:r>
      <w:r w:rsidR="00302840" w:rsidRPr="00887A08">
        <w:rPr>
          <w:rFonts w:cs="Arial"/>
        </w:rPr>
        <w:t>benefits would be realised?</w:t>
      </w:r>
    </w:p>
    <w:p w14:paraId="068804A2" w14:textId="77777777" w:rsidR="001A3148" w:rsidRDefault="001A3148" w:rsidP="001A3148">
      <w:pPr>
        <w:spacing w:before="240" w:after="120"/>
        <w:rPr>
          <w:rFonts w:cs="Arial"/>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 xml:space="preserve">the table below, where ‘1’ means ‘strongly disagree’ and </w:t>
      </w:r>
      <w:r>
        <w:rPr>
          <w:rFonts w:cs="Arial"/>
          <w:i/>
        </w:rPr>
        <w:tab/>
        <w:t>‘</w:t>
      </w:r>
      <w:r w:rsidRPr="00900AD6">
        <w:rPr>
          <w:rFonts w:cs="Arial"/>
          <w:i/>
        </w:rPr>
        <w:t>5</w:t>
      </w:r>
      <w:r>
        <w:rPr>
          <w:rFonts w:cs="Arial"/>
          <w:i/>
        </w:rPr>
        <w:t>’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1A3148" w:rsidRPr="00900AD6" w14:paraId="30817447" w14:textId="77777777" w:rsidTr="000D3298">
        <w:trPr>
          <w:trHeight w:val="340"/>
          <w:tblHeader/>
        </w:trPr>
        <w:tc>
          <w:tcPr>
            <w:tcW w:w="4106" w:type="dxa"/>
            <w:shd w:val="clear" w:color="auto" w:fill="D9D9D9" w:themeFill="background1" w:themeFillShade="D9"/>
            <w:vAlign w:val="center"/>
          </w:tcPr>
          <w:p w14:paraId="2B2678D2" w14:textId="15F3A945" w:rsidR="001A3148" w:rsidRPr="00900AD6" w:rsidRDefault="001A3148" w:rsidP="004925B5">
            <w:pPr>
              <w:rPr>
                <w:rFonts w:cs="Arial"/>
                <w:b/>
              </w:rPr>
            </w:pPr>
            <w:r>
              <w:rPr>
                <w:rFonts w:cs="Arial"/>
                <w:b/>
              </w:rPr>
              <w:t>Potential Benefit</w:t>
            </w:r>
          </w:p>
        </w:tc>
        <w:tc>
          <w:tcPr>
            <w:tcW w:w="1105" w:type="dxa"/>
            <w:shd w:val="clear" w:color="auto" w:fill="D9D9D9" w:themeFill="background1" w:themeFillShade="D9"/>
            <w:vAlign w:val="center"/>
          </w:tcPr>
          <w:p w14:paraId="7DF5CC14" w14:textId="77777777" w:rsidR="001A3148" w:rsidRPr="00900AD6" w:rsidRDefault="001A3148" w:rsidP="004925B5">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59A31985" w14:textId="77777777" w:rsidR="001A3148" w:rsidRPr="00900AD6" w:rsidRDefault="001A3148" w:rsidP="004925B5">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6116DFB4" w14:textId="77777777" w:rsidR="001A3148" w:rsidRPr="00900AD6" w:rsidRDefault="001A3148" w:rsidP="004925B5">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4590D4CE" w14:textId="77777777" w:rsidR="001A3148" w:rsidRPr="00900AD6" w:rsidRDefault="001A3148" w:rsidP="004925B5">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6040C990" w14:textId="77777777" w:rsidR="001A3148" w:rsidRPr="00900AD6" w:rsidRDefault="001A3148" w:rsidP="004925B5">
            <w:pPr>
              <w:jc w:val="center"/>
              <w:rPr>
                <w:rFonts w:cs="Arial"/>
                <w:b/>
                <w:sz w:val="20"/>
                <w:szCs w:val="20"/>
              </w:rPr>
            </w:pPr>
            <w:r w:rsidRPr="00900AD6">
              <w:rPr>
                <w:rFonts w:cs="Arial"/>
                <w:b/>
                <w:sz w:val="20"/>
                <w:szCs w:val="20"/>
              </w:rPr>
              <w:t>5</w:t>
            </w:r>
          </w:p>
        </w:tc>
      </w:tr>
      <w:tr w:rsidR="001A3148" w:rsidRPr="00887A08" w14:paraId="7F82CA73" w14:textId="77777777" w:rsidTr="004925B5">
        <w:trPr>
          <w:trHeight w:val="624"/>
        </w:trPr>
        <w:tc>
          <w:tcPr>
            <w:tcW w:w="4106" w:type="dxa"/>
            <w:vAlign w:val="center"/>
          </w:tcPr>
          <w:p w14:paraId="71568EE6" w14:textId="5F9D66B3" w:rsidR="001A3148" w:rsidRPr="00887A08" w:rsidRDefault="001A3148" w:rsidP="004925B5">
            <w:pPr>
              <w:jc w:val="left"/>
              <w:rPr>
                <w:rFonts w:cs="Arial"/>
              </w:rPr>
            </w:pPr>
            <w:r w:rsidRPr="001A3148">
              <w:rPr>
                <w:rFonts w:cs="Arial"/>
              </w:rPr>
              <w:t>Avoiding later costs of adaptation for occupants</w:t>
            </w:r>
          </w:p>
        </w:tc>
        <w:tc>
          <w:tcPr>
            <w:tcW w:w="1105" w:type="dxa"/>
            <w:vAlign w:val="center"/>
          </w:tcPr>
          <w:p w14:paraId="20B4F5DB" w14:textId="77777777" w:rsidR="001A3148" w:rsidRPr="00887A08" w:rsidRDefault="00FE3C57" w:rsidP="004925B5">
            <w:pPr>
              <w:rPr>
                <w:rFonts w:cs="Arial"/>
              </w:rPr>
            </w:pPr>
            <w:sdt>
              <w:sdtPr>
                <w:rPr>
                  <w:rFonts w:cs="Arial"/>
                </w:rPr>
                <w:id w:val="804973720"/>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5948A667" w14:textId="77777777" w:rsidR="001A3148" w:rsidRPr="00887A08" w:rsidRDefault="00FE3C57" w:rsidP="004925B5">
            <w:pPr>
              <w:rPr>
                <w:rFonts w:cs="Arial"/>
              </w:rPr>
            </w:pPr>
            <w:sdt>
              <w:sdtPr>
                <w:rPr>
                  <w:rFonts w:cs="Arial"/>
                </w:rPr>
                <w:id w:val="-278331117"/>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5324A112" w14:textId="77777777" w:rsidR="001A3148" w:rsidRPr="00887A08" w:rsidRDefault="00FE3C57" w:rsidP="004925B5">
            <w:pPr>
              <w:rPr>
                <w:rFonts w:cs="Arial"/>
              </w:rPr>
            </w:pPr>
            <w:sdt>
              <w:sdtPr>
                <w:rPr>
                  <w:rFonts w:cs="Arial"/>
                </w:rPr>
                <w:id w:val="1926221457"/>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3F441FB5" w14:textId="77777777" w:rsidR="001A3148" w:rsidRPr="00887A08" w:rsidRDefault="00FE3C57" w:rsidP="004925B5">
            <w:pPr>
              <w:rPr>
                <w:rFonts w:cs="Arial"/>
              </w:rPr>
            </w:pPr>
            <w:sdt>
              <w:sdtPr>
                <w:rPr>
                  <w:rFonts w:cs="Arial"/>
                </w:rPr>
                <w:id w:val="-197313577"/>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3381395F" w14:textId="77777777" w:rsidR="001A3148" w:rsidRPr="00887A08" w:rsidRDefault="00FE3C57" w:rsidP="004925B5">
            <w:pPr>
              <w:rPr>
                <w:rFonts w:cs="Arial"/>
              </w:rPr>
            </w:pPr>
            <w:sdt>
              <w:sdtPr>
                <w:rPr>
                  <w:rFonts w:cs="Arial"/>
                </w:rPr>
                <w:id w:val="106014130"/>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r w:rsidR="001A3148" w:rsidRPr="00887A08" w14:paraId="559C5723" w14:textId="77777777" w:rsidTr="004925B5">
        <w:trPr>
          <w:trHeight w:val="624"/>
        </w:trPr>
        <w:tc>
          <w:tcPr>
            <w:tcW w:w="4106" w:type="dxa"/>
            <w:vAlign w:val="center"/>
          </w:tcPr>
          <w:p w14:paraId="538CD3B2" w14:textId="41743B7E" w:rsidR="001A3148" w:rsidRPr="001A3148" w:rsidRDefault="001A3148" w:rsidP="001A3148">
            <w:pPr>
              <w:jc w:val="left"/>
              <w:rPr>
                <w:rFonts w:cs="Arial"/>
              </w:rPr>
            </w:pPr>
            <w:r w:rsidRPr="001A3148">
              <w:rPr>
                <w:rFonts w:cs="Arial"/>
              </w:rPr>
              <w:t>Reduced social isolation / increased ‘visitability’</w:t>
            </w:r>
          </w:p>
        </w:tc>
        <w:tc>
          <w:tcPr>
            <w:tcW w:w="1105" w:type="dxa"/>
            <w:vAlign w:val="center"/>
          </w:tcPr>
          <w:p w14:paraId="5CA22BA1" w14:textId="68F027A6" w:rsidR="001A3148" w:rsidRDefault="00FE3C57" w:rsidP="001A3148">
            <w:pPr>
              <w:rPr>
                <w:rFonts w:cs="Arial"/>
              </w:rPr>
            </w:pPr>
            <w:sdt>
              <w:sdtPr>
                <w:rPr>
                  <w:rFonts w:cs="Arial"/>
                </w:rPr>
                <w:id w:val="1516493033"/>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5470A2C4" w14:textId="602DFB2C" w:rsidR="001A3148" w:rsidRDefault="00FE3C57" w:rsidP="001A3148">
            <w:pPr>
              <w:rPr>
                <w:rFonts w:cs="Arial"/>
              </w:rPr>
            </w:pPr>
            <w:sdt>
              <w:sdtPr>
                <w:rPr>
                  <w:rFonts w:cs="Arial"/>
                </w:rPr>
                <w:id w:val="-616447059"/>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00212CE6" w14:textId="5F09A817" w:rsidR="001A3148" w:rsidRDefault="00FE3C57" w:rsidP="001A3148">
            <w:pPr>
              <w:rPr>
                <w:rFonts w:cs="Arial"/>
              </w:rPr>
            </w:pPr>
            <w:sdt>
              <w:sdtPr>
                <w:rPr>
                  <w:rFonts w:cs="Arial"/>
                </w:rPr>
                <w:id w:val="707302298"/>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13C4120E" w14:textId="108263C8" w:rsidR="001A3148" w:rsidRDefault="00FE3C57" w:rsidP="001A3148">
            <w:pPr>
              <w:rPr>
                <w:rFonts w:cs="Arial"/>
              </w:rPr>
            </w:pPr>
            <w:sdt>
              <w:sdtPr>
                <w:rPr>
                  <w:rFonts w:cs="Arial"/>
                </w:rPr>
                <w:id w:val="-414556054"/>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63F553CA" w14:textId="753AB8EF" w:rsidR="001A3148" w:rsidRDefault="00FE3C57" w:rsidP="001A3148">
            <w:pPr>
              <w:rPr>
                <w:rFonts w:cs="Arial"/>
              </w:rPr>
            </w:pPr>
            <w:sdt>
              <w:sdtPr>
                <w:rPr>
                  <w:rFonts w:cs="Arial"/>
                </w:rPr>
                <w:id w:val="349535893"/>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r w:rsidR="001A3148" w:rsidRPr="00887A08" w14:paraId="0B0C9609" w14:textId="77777777" w:rsidTr="004925B5">
        <w:trPr>
          <w:trHeight w:val="624"/>
        </w:trPr>
        <w:tc>
          <w:tcPr>
            <w:tcW w:w="4106" w:type="dxa"/>
            <w:vAlign w:val="center"/>
          </w:tcPr>
          <w:p w14:paraId="46C57483" w14:textId="450F6E0D" w:rsidR="001A3148" w:rsidRPr="001A3148" w:rsidRDefault="001A3148" w:rsidP="001A3148">
            <w:pPr>
              <w:jc w:val="left"/>
              <w:rPr>
                <w:rFonts w:cs="Arial"/>
              </w:rPr>
            </w:pPr>
            <w:r w:rsidRPr="001A3148">
              <w:rPr>
                <w:rFonts w:cs="Arial"/>
              </w:rPr>
              <w:t>Ability to stay / age in home and community longer</w:t>
            </w:r>
          </w:p>
        </w:tc>
        <w:tc>
          <w:tcPr>
            <w:tcW w:w="1105" w:type="dxa"/>
            <w:vAlign w:val="center"/>
          </w:tcPr>
          <w:p w14:paraId="2013965D" w14:textId="3C8D0624" w:rsidR="001A3148" w:rsidRDefault="00FE3C57" w:rsidP="001A3148">
            <w:pPr>
              <w:rPr>
                <w:rFonts w:cs="Arial"/>
              </w:rPr>
            </w:pPr>
            <w:sdt>
              <w:sdtPr>
                <w:rPr>
                  <w:rFonts w:cs="Arial"/>
                </w:rPr>
                <w:id w:val="-777335955"/>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2A7C4048" w14:textId="0AF9DAE3" w:rsidR="001A3148" w:rsidRDefault="00FE3C57" w:rsidP="001A3148">
            <w:pPr>
              <w:rPr>
                <w:rFonts w:cs="Arial"/>
              </w:rPr>
            </w:pPr>
            <w:sdt>
              <w:sdtPr>
                <w:rPr>
                  <w:rFonts w:cs="Arial"/>
                </w:rPr>
                <w:id w:val="308448816"/>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7BBAE378" w14:textId="387B478C" w:rsidR="001A3148" w:rsidRDefault="00FE3C57" w:rsidP="001A3148">
            <w:pPr>
              <w:rPr>
                <w:rFonts w:cs="Arial"/>
              </w:rPr>
            </w:pPr>
            <w:sdt>
              <w:sdtPr>
                <w:rPr>
                  <w:rFonts w:cs="Arial"/>
                </w:rPr>
                <w:id w:val="1553810975"/>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4BB56037" w14:textId="19E35FA1" w:rsidR="001A3148" w:rsidRDefault="00FE3C57" w:rsidP="001A3148">
            <w:pPr>
              <w:rPr>
                <w:rFonts w:cs="Arial"/>
              </w:rPr>
            </w:pPr>
            <w:sdt>
              <w:sdtPr>
                <w:rPr>
                  <w:rFonts w:cs="Arial"/>
                </w:rPr>
                <w:id w:val="-655844238"/>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0838EDEF" w14:textId="7235D3DB" w:rsidR="001A3148" w:rsidRDefault="00FE3C57" w:rsidP="001A3148">
            <w:pPr>
              <w:rPr>
                <w:rFonts w:cs="Arial"/>
              </w:rPr>
            </w:pPr>
            <w:sdt>
              <w:sdtPr>
                <w:rPr>
                  <w:rFonts w:cs="Arial"/>
                </w:rPr>
                <w:id w:val="-2052062427"/>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r w:rsidR="001A3148" w:rsidRPr="00887A08" w14:paraId="178FBC2B" w14:textId="77777777" w:rsidTr="004925B5">
        <w:trPr>
          <w:trHeight w:val="624"/>
        </w:trPr>
        <w:tc>
          <w:tcPr>
            <w:tcW w:w="4106" w:type="dxa"/>
            <w:vAlign w:val="center"/>
          </w:tcPr>
          <w:p w14:paraId="0DA025F7" w14:textId="74B1DDDC" w:rsidR="001A3148" w:rsidRPr="001A3148" w:rsidRDefault="001A3148" w:rsidP="001A3148">
            <w:pPr>
              <w:jc w:val="left"/>
              <w:rPr>
                <w:rFonts w:cs="Arial"/>
              </w:rPr>
            </w:pPr>
            <w:r w:rsidRPr="00887A08">
              <w:rPr>
                <w:rFonts w:cs="Arial"/>
              </w:rPr>
              <w:t>Delayed / reduced use of specialist housing</w:t>
            </w:r>
          </w:p>
        </w:tc>
        <w:tc>
          <w:tcPr>
            <w:tcW w:w="1105" w:type="dxa"/>
            <w:vAlign w:val="center"/>
          </w:tcPr>
          <w:p w14:paraId="53DD37F1" w14:textId="307B301D" w:rsidR="001A3148" w:rsidRDefault="00FE3C57" w:rsidP="001A3148">
            <w:pPr>
              <w:rPr>
                <w:rFonts w:cs="Arial"/>
              </w:rPr>
            </w:pPr>
            <w:sdt>
              <w:sdtPr>
                <w:rPr>
                  <w:rFonts w:cs="Arial"/>
                </w:rPr>
                <w:id w:val="739915514"/>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68B7EFC4" w14:textId="6A3D4A09" w:rsidR="001A3148" w:rsidRDefault="00FE3C57" w:rsidP="001A3148">
            <w:pPr>
              <w:rPr>
                <w:rFonts w:cs="Arial"/>
              </w:rPr>
            </w:pPr>
            <w:sdt>
              <w:sdtPr>
                <w:rPr>
                  <w:rFonts w:cs="Arial"/>
                </w:rPr>
                <w:id w:val="892628203"/>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73761C86" w14:textId="344B76E1" w:rsidR="001A3148" w:rsidRDefault="00FE3C57" w:rsidP="001A3148">
            <w:pPr>
              <w:rPr>
                <w:rFonts w:cs="Arial"/>
              </w:rPr>
            </w:pPr>
            <w:sdt>
              <w:sdtPr>
                <w:rPr>
                  <w:rFonts w:cs="Arial"/>
                </w:rPr>
                <w:id w:val="-1734617044"/>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15313738" w14:textId="6974B1E3" w:rsidR="001A3148" w:rsidRDefault="00FE3C57" w:rsidP="001A3148">
            <w:pPr>
              <w:rPr>
                <w:rFonts w:cs="Arial"/>
              </w:rPr>
            </w:pPr>
            <w:sdt>
              <w:sdtPr>
                <w:rPr>
                  <w:rFonts w:cs="Arial"/>
                </w:rPr>
                <w:id w:val="-1674024875"/>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1C20209C" w14:textId="22352B27" w:rsidR="001A3148" w:rsidRDefault="00FE3C57" w:rsidP="001A3148">
            <w:pPr>
              <w:rPr>
                <w:rFonts w:cs="Arial"/>
              </w:rPr>
            </w:pPr>
            <w:sdt>
              <w:sdtPr>
                <w:rPr>
                  <w:rFonts w:cs="Arial"/>
                </w:rPr>
                <w:id w:val="2041769728"/>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r w:rsidR="001A3148" w:rsidRPr="00887A08" w14:paraId="4CC3A6A6" w14:textId="77777777" w:rsidTr="004925B5">
        <w:trPr>
          <w:trHeight w:val="624"/>
        </w:trPr>
        <w:tc>
          <w:tcPr>
            <w:tcW w:w="4106" w:type="dxa"/>
            <w:vAlign w:val="center"/>
          </w:tcPr>
          <w:p w14:paraId="3FD69FDD" w14:textId="540990B1" w:rsidR="001A3148" w:rsidRPr="00887A08" w:rsidRDefault="001A3148" w:rsidP="001A3148">
            <w:pPr>
              <w:jc w:val="left"/>
              <w:rPr>
                <w:rFonts w:cs="Arial"/>
              </w:rPr>
            </w:pPr>
            <w:r w:rsidRPr="00887A08">
              <w:rPr>
                <w:rFonts w:cs="Arial"/>
              </w:rPr>
              <w:t>A greater choice of accommodation options</w:t>
            </w:r>
          </w:p>
        </w:tc>
        <w:tc>
          <w:tcPr>
            <w:tcW w:w="1105" w:type="dxa"/>
            <w:vAlign w:val="center"/>
          </w:tcPr>
          <w:p w14:paraId="27BFB8E1" w14:textId="06549865" w:rsidR="001A3148" w:rsidRDefault="00FE3C57" w:rsidP="001A3148">
            <w:pPr>
              <w:rPr>
                <w:rFonts w:cs="Arial"/>
              </w:rPr>
            </w:pPr>
            <w:sdt>
              <w:sdtPr>
                <w:rPr>
                  <w:rFonts w:cs="Arial"/>
                </w:rPr>
                <w:id w:val="-645281819"/>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0124502E" w14:textId="04823062" w:rsidR="001A3148" w:rsidRDefault="00FE3C57" w:rsidP="001A3148">
            <w:pPr>
              <w:rPr>
                <w:rFonts w:cs="Arial"/>
              </w:rPr>
            </w:pPr>
            <w:sdt>
              <w:sdtPr>
                <w:rPr>
                  <w:rFonts w:cs="Arial"/>
                </w:rPr>
                <w:id w:val="-322055217"/>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5" w:type="dxa"/>
            <w:vAlign w:val="center"/>
          </w:tcPr>
          <w:p w14:paraId="6924B047" w14:textId="785405B8" w:rsidR="001A3148" w:rsidRDefault="00FE3C57" w:rsidP="001A3148">
            <w:pPr>
              <w:rPr>
                <w:rFonts w:cs="Arial"/>
              </w:rPr>
            </w:pPr>
            <w:sdt>
              <w:sdtPr>
                <w:rPr>
                  <w:rFonts w:cs="Arial"/>
                </w:rPr>
                <w:id w:val="588119033"/>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3F8B7D25" w14:textId="0443A79C" w:rsidR="001A3148" w:rsidRDefault="00FE3C57" w:rsidP="001A3148">
            <w:pPr>
              <w:rPr>
                <w:rFonts w:cs="Arial"/>
              </w:rPr>
            </w:pPr>
            <w:sdt>
              <w:sdtPr>
                <w:rPr>
                  <w:rFonts w:cs="Arial"/>
                </w:rPr>
                <w:id w:val="-1797752858"/>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c>
          <w:tcPr>
            <w:tcW w:w="1106" w:type="dxa"/>
            <w:vAlign w:val="center"/>
          </w:tcPr>
          <w:p w14:paraId="654CC237" w14:textId="67EDE9DE" w:rsidR="001A3148" w:rsidRDefault="00FE3C57" w:rsidP="001A3148">
            <w:pPr>
              <w:rPr>
                <w:rFonts w:cs="Arial"/>
              </w:rPr>
            </w:pPr>
            <w:sdt>
              <w:sdtPr>
                <w:rPr>
                  <w:rFonts w:cs="Arial"/>
                </w:rPr>
                <w:id w:val="1694723874"/>
                <w14:checkbox>
                  <w14:checked w14:val="0"/>
                  <w14:checkedState w14:val="2612" w14:font="MS Gothic"/>
                  <w14:uncheckedState w14:val="2610" w14:font="MS Gothic"/>
                </w14:checkbox>
              </w:sdtPr>
              <w:sdtEndPr/>
              <w:sdtContent>
                <w:r w:rsidR="001A3148">
                  <w:rPr>
                    <w:rFonts w:ascii="MS Gothic" w:eastAsia="MS Gothic" w:hAnsi="MS Gothic" w:cs="Arial" w:hint="eastAsia"/>
                  </w:rPr>
                  <w:t>☐</w:t>
                </w:r>
              </w:sdtContent>
            </w:sdt>
          </w:p>
        </w:tc>
      </w:tr>
    </w:tbl>
    <w:p w14:paraId="7782640E" w14:textId="77777777" w:rsidR="001A3148" w:rsidRDefault="001A3148" w:rsidP="003268DF">
      <w:pPr>
        <w:pBdr>
          <w:bottom w:val="single" w:sz="4" w:space="1" w:color="auto"/>
        </w:pBdr>
        <w:spacing w:before="240" w:after="120"/>
        <w:rPr>
          <w:rFonts w:cs="Arial"/>
        </w:rPr>
      </w:pPr>
    </w:p>
    <w:p w14:paraId="445504B7" w14:textId="77777777" w:rsidR="0064120C" w:rsidRDefault="0064120C" w:rsidP="0064120C">
      <w:pPr>
        <w:spacing w:before="240" w:after="120"/>
        <w:rPr>
          <w:rFonts w:cs="Arial"/>
        </w:rPr>
      </w:pPr>
    </w:p>
    <w:p w14:paraId="53E1016F" w14:textId="77777777" w:rsidR="00402BC1" w:rsidRDefault="00402BC1" w:rsidP="0064120C">
      <w:pPr>
        <w:spacing w:before="240" w:after="120"/>
        <w:rPr>
          <w:rFonts w:cs="Arial"/>
        </w:rPr>
      </w:pPr>
    </w:p>
    <w:p w14:paraId="1590CD69" w14:textId="1671F682" w:rsidR="00302840" w:rsidRDefault="001A3148" w:rsidP="00302840">
      <w:pPr>
        <w:spacing w:before="240" w:after="120"/>
        <w:rPr>
          <w:rFonts w:cs="Arial"/>
        </w:rPr>
      </w:pPr>
      <w:r>
        <w:rPr>
          <w:rFonts w:cs="Arial"/>
        </w:rPr>
        <w:t xml:space="preserve">25. </w:t>
      </w:r>
      <w:r>
        <w:rPr>
          <w:rFonts w:cs="Arial"/>
        </w:rPr>
        <w:tab/>
      </w:r>
      <w:r w:rsidR="00302840" w:rsidRPr="00887A08">
        <w:rPr>
          <w:rFonts w:cs="Arial"/>
        </w:rPr>
        <w:t>What other benefits, if any, would be realised from an incre</w:t>
      </w:r>
      <w:r>
        <w:rPr>
          <w:rFonts w:cs="Arial"/>
        </w:rPr>
        <w:t xml:space="preserve">ase in accessible housing? </w:t>
      </w:r>
    </w:p>
    <w:p w14:paraId="6F24FC53" w14:textId="17EA380C" w:rsidR="00302840" w:rsidRPr="00887A08" w:rsidRDefault="001A3148" w:rsidP="0064120C">
      <w:pPr>
        <w:pBdr>
          <w:bottom w:val="single" w:sz="4" w:space="1" w:color="auto"/>
        </w:pBdr>
        <w:spacing w:before="240" w:after="120"/>
        <w:rPr>
          <w:rFonts w:cs="Arial"/>
        </w:rPr>
      </w:pPr>
      <w:r>
        <w:rPr>
          <w:rFonts w:cs="Arial"/>
        </w:rPr>
        <w:tab/>
      </w:r>
      <w:sdt>
        <w:sdtPr>
          <w:rPr>
            <w:rFonts w:cs="Arial"/>
          </w:rPr>
          <w:id w:val="1070461303"/>
          <w:placeholder>
            <w:docPart w:val="32BA74D46D614325A875B8744749AAB3"/>
          </w:placeholder>
          <w:showingPlcHdr/>
          <w:text/>
        </w:sdtPr>
        <w:sdtEndPr/>
        <w:sdtContent>
          <w:r w:rsidRPr="004D55AA">
            <w:rPr>
              <w:rStyle w:val="PlaceholderText"/>
              <w:rFonts w:cs="Arial"/>
              <w:i/>
            </w:rPr>
            <w:t>Click here to enter text.</w:t>
          </w:r>
        </w:sdtContent>
      </w:sdt>
    </w:p>
    <w:p w14:paraId="78F0EB6B" w14:textId="688077E0" w:rsidR="00302840" w:rsidRDefault="008D6D7B" w:rsidP="00302840">
      <w:pPr>
        <w:spacing w:before="240" w:after="120"/>
        <w:rPr>
          <w:rFonts w:cs="Arial"/>
        </w:rPr>
      </w:pPr>
      <w:r>
        <w:rPr>
          <w:rFonts w:cs="Arial"/>
        </w:rPr>
        <w:t>26.</w:t>
      </w:r>
      <w:r w:rsidR="00302840">
        <w:rPr>
          <w:rFonts w:cs="Arial"/>
        </w:rPr>
        <w:t xml:space="preserve"> </w:t>
      </w:r>
      <w:r>
        <w:rPr>
          <w:rFonts w:cs="Arial"/>
        </w:rPr>
        <w:tab/>
      </w:r>
      <w:r w:rsidR="00302840" w:rsidRPr="00887A08">
        <w:rPr>
          <w:rFonts w:cs="Arial"/>
        </w:rPr>
        <w:t>Over what time period would each of these benefits be realised?</w:t>
      </w:r>
    </w:p>
    <w:p w14:paraId="7D5CB45E" w14:textId="726032A2" w:rsidR="008D6D7B" w:rsidRDefault="008D6D7B" w:rsidP="00302840">
      <w:pPr>
        <w:spacing w:before="240" w:after="120"/>
        <w:rPr>
          <w:rFonts w:cs="Arial"/>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the table below</w:t>
      </w:r>
      <w:r>
        <w:rPr>
          <w:rFonts w:cs="Arial"/>
          <w:i/>
        </w:rPr>
        <w:t>.</w:t>
      </w:r>
    </w:p>
    <w:tbl>
      <w:tblPr>
        <w:tblStyle w:val="TableGrid"/>
        <w:tblW w:w="9634" w:type="dxa"/>
        <w:tblLayout w:type="fixed"/>
        <w:tblLook w:val="04A0" w:firstRow="1" w:lastRow="0" w:firstColumn="1" w:lastColumn="0" w:noHBand="0" w:noVBand="1"/>
        <w:tblCaption w:val="Question 26 response table"/>
      </w:tblPr>
      <w:tblGrid>
        <w:gridCol w:w="4106"/>
        <w:gridCol w:w="1382"/>
        <w:gridCol w:w="1382"/>
        <w:gridCol w:w="1382"/>
        <w:gridCol w:w="1382"/>
      </w:tblGrid>
      <w:tr w:rsidR="008D6D7B" w:rsidRPr="00900AD6" w14:paraId="1F9A94ED" w14:textId="77777777" w:rsidTr="000D3298">
        <w:trPr>
          <w:trHeight w:val="340"/>
          <w:tblHeader/>
        </w:trPr>
        <w:tc>
          <w:tcPr>
            <w:tcW w:w="4106" w:type="dxa"/>
            <w:shd w:val="clear" w:color="auto" w:fill="D9D9D9" w:themeFill="background1" w:themeFillShade="D9"/>
            <w:vAlign w:val="center"/>
          </w:tcPr>
          <w:p w14:paraId="3439914F" w14:textId="77777777" w:rsidR="008D6D7B" w:rsidRPr="00900AD6" w:rsidRDefault="008D6D7B" w:rsidP="004925B5">
            <w:pPr>
              <w:rPr>
                <w:rFonts w:cs="Arial"/>
                <w:b/>
              </w:rPr>
            </w:pPr>
            <w:r>
              <w:rPr>
                <w:rFonts w:cs="Arial"/>
                <w:b/>
              </w:rPr>
              <w:t>Potential Benefit</w:t>
            </w:r>
          </w:p>
        </w:tc>
        <w:tc>
          <w:tcPr>
            <w:tcW w:w="1382" w:type="dxa"/>
            <w:shd w:val="clear" w:color="auto" w:fill="D9D9D9" w:themeFill="background1" w:themeFillShade="D9"/>
            <w:vAlign w:val="center"/>
          </w:tcPr>
          <w:p w14:paraId="1F884E41" w14:textId="10B738F1" w:rsidR="008D6D7B" w:rsidRPr="00900AD6" w:rsidRDefault="008D6D7B" w:rsidP="004925B5">
            <w:pPr>
              <w:jc w:val="center"/>
              <w:rPr>
                <w:rFonts w:cs="Arial"/>
                <w:b/>
                <w:sz w:val="20"/>
                <w:szCs w:val="20"/>
              </w:rPr>
            </w:pPr>
            <w:r>
              <w:rPr>
                <w:rFonts w:cs="Arial"/>
                <w:b/>
                <w:sz w:val="20"/>
                <w:szCs w:val="20"/>
              </w:rPr>
              <w:t>Short term (1-10 years)</w:t>
            </w:r>
          </w:p>
        </w:tc>
        <w:tc>
          <w:tcPr>
            <w:tcW w:w="1382" w:type="dxa"/>
            <w:shd w:val="clear" w:color="auto" w:fill="D9D9D9" w:themeFill="background1" w:themeFillShade="D9"/>
            <w:vAlign w:val="center"/>
          </w:tcPr>
          <w:p w14:paraId="4B2EE330" w14:textId="6AB198CB" w:rsidR="008D6D7B" w:rsidRPr="00900AD6" w:rsidRDefault="008D6D7B" w:rsidP="004925B5">
            <w:pPr>
              <w:jc w:val="center"/>
              <w:rPr>
                <w:rFonts w:cs="Arial"/>
                <w:b/>
                <w:sz w:val="20"/>
                <w:szCs w:val="20"/>
              </w:rPr>
            </w:pPr>
            <w:r>
              <w:rPr>
                <w:rFonts w:cs="Arial"/>
                <w:b/>
                <w:sz w:val="20"/>
                <w:szCs w:val="20"/>
              </w:rPr>
              <w:t>Medium term (11-20 years)</w:t>
            </w:r>
          </w:p>
        </w:tc>
        <w:tc>
          <w:tcPr>
            <w:tcW w:w="1382" w:type="dxa"/>
            <w:shd w:val="clear" w:color="auto" w:fill="D9D9D9" w:themeFill="background1" w:themeFillShade="D9"/>
            <w:vAlign w:val="center"/>
          </w:tcPr>
          <w:p w14:paraId="60CE7E87" w14:textId="3517433F" w:rsidR="008D6D7B" w:rsidRPr="00900AD6" w:rsidRDefault="008D6D7B" w:rsidP="004925B5">
            <w:pPr>
              <w:jc w:val="center"/>
              <w:rPr>
                <w:rFonts w:cs="Arial"/>
                <w:b/>
                <w:sz w:val="20"/>
                <w:szCs w:val="20"/>
              </w:rPr>
            </w:pPr>
            <w:r>
              <w:rPr>
                <w:rFonts w:cs="Arial"/>
                <w:b/>
                <w:sz w:val="20"/>
                <w:szCs w:val="20"/>
              </w:rPr>
              <w:t>Long term (more than 20 years)</w:t>
            </w:r>
          </w:p>
        </w:tc>
        <w:tc>
          <w:tcPr>
            <w:tcW w:w="1382" w:type="dxa"/>
            <w:shd w:val="clear" w:color="auto" w:fill="D9D9D9" w:themeFill="background1" w:themeFillShade="D9"/>
            <w:vAlign w:val="center"/>
          </w:tcPr>
          <w:p w14:paraId="6CD8F5EE" w14:textId="173ACDCD" w:rsidR="008D6D7B" w:rsidRPr="00900AD6" w:rsidRDefault="008D6D7B" w:rsidP="004925B5">
            <w:pPr>
              <w:jc w:val="center"/>
              <w:rPr>
                <w:rFonts w:cs="Arial"/>
                <w:b/>
                <w:sz w:val="20"/>
                <w:szCs w:val="20"/>
              </w:rPr>
            </w:pPr>
            <w:r>
              <w:rPr>
                <w:rFonts w:cs="Arial"/>
                <w:b/>
                <w:sz w:val="20"/>
                <w:szCs w:val="20"/>
              </w:rPr>
              <w:t>Never</w:t>
            </w:r>
          </w:p>
        </w:tc>
      </w:tr>
      <w:tr w:rsidR="008D6D7B" w:rsidRPr="00887A08" w14:paraId="13A16603" w14:textId="77777777" w:rsidTr="008D6D7B">
        <w:trPr>
          <w:trHeight w:val="624"/>
        </w:trPr>
        <w:tc>
          <w:tcPr>
            <w:tcW w:w="4106" w:type="dxa"/>
            <w:vAlign w:val="center"/>
          </w:tcPr>
          <w:p w14:paraId="08500B16" w14:textId="77777777" w:rsidR="008D6D7B" w:rsidRPr="00887A08" w:rsidRDefault="008D6D7B" w:rsidP="004925B5">
            <w:pPr>
              <w:jc w:val="left"/>
              <w:rPr>
                <w:rFonts w:cs="Arial"/>
              </w:rPr>
            </w:pPr>
            <w:r w:rsidRPr="001A3148">
              <w:rPr>
                <w:rFonts w:cs="Arial"/>
              </w:rPr>
              <w:t>Avoiding later costs of adaptation for occupants</w:t>
            </w:r>
          </w:p>
        </w:tc>
        <w:tc>
          <w:tcPr>
            <w:tcW w:w="1382" w:type="dxa"/>
            <w:vAlign w:val="center"/>
          </w:tcPr>
          <w:p w14:paraId="01C60D4F" w14:textId="77777777" w:rsidR="008D6D7B" w:rsidRPr="00887A08" w:rsidRDefault="00FE3C57" w:rsidP="004925B5">
            <w:pPr>
              <w:rPr>
                <w:rFonts w:cs="Arial"/>
              </w:rPr>
            </w:pPr>
            <w:sdt>
              <w:sdtPr>
                <w:rPr>
                  <w:rFonts w:cs="Arial"/>
                </w:rPr>
                <w:id w:val="3185976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25F939A9" w14:textId="77777777" w:rsidR="008D6D7B" w:rsidRPr="00887A08" w:rsidRDefault="00FE3C57" w:rsidP="004925B5">
            <w:pPr>
              <w:rPr>
                <w:rFonts w:cs="Arial"/>
              </w:rPr>
            </w:pPr>
            <w:sdt>
              <w:sdtPr>
                <w:rPr>
                  <w:rFonts w:cs="Arial"/>
                </w:rPr>
                <w:id w:val="-195177499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6525D772" w14:textId="77777777" w:rsidR="008D6D7B" w:rsidRPr="00887A08" w:rsidRDefault="00FE3C57" w:rsidP="004925B5">
            <w:pPr>
              <w:rPr>
                <w:rFonts w:cs="Arial"/>
              </w:rPr>
            </w:pPr>
            <w:sdt>
              <w:sdtPr>
                <w:rPr>
                  <w:rFonts w:cs="Arial"/>
                </w:rPr>
                <w:id w:val="-294054745"/>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77C71317" w14:textId="77777777" w:rsidR="008D6D7B" w:rsidRPr="00887A08" w:rsidRDefault="00FE3C57" w:rsidP="004925B5">
            <w:pPr>
              <w:rPr>
                <w:rFonts w:cs="Arial"/>
              </w:rPr>
            </w:pPr>
            <w:sdt>
              <w:sdtPr>
                <w:rPr>
                  <w:rFonts w:cs="Arial"/>
                </w:rPr>
                <w:id w:val="-1775235383"/>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7A45EE40" w14:textId="77777777" w:rsidTr="008D6D7B">
        <w:trPr>
          <w:trHeight w:val="624"/>
        </w:trPr>
        <w:tc>
          <w:tcPr>
            <w:tcW w:w="4106" w:type="dxa"/>
            <w:vAlign w:val="center"/>
          </w:tcPr>
          <w:p w14:paraId="31D32ECC" w14:textId="77777777" w:rsidR="008D6D7B" w:rsidRPr="001A3148" w:rsidRDefault="008D6D7B" w:rsidP="004925B5">
            <w:pPr>
              <w:jc w:val="left"/>
              <w:rPr>
                <w:rFonts w:cs="Arial"/>
              </w:rPr>
            </w:pPr>
            <w:r w:rsidRPr="001A3148">
              <w:rPr>
                <w:rFonts w:cs="Arial"/>
              </w:rPr>
              <w:t>Reduced social isolation / increased ‘visitability’</w:t>
            </w:r>
          </w:p>
        </w:tc>
        <w:tc>
          <w:tcPr>
            <w:tcW w:w="1382" w:type="dxa"/>
            <w:vAlign w:val="center"/>
          </w:tcPr>
          <w:p w14:paraId="0DB71A4F" w14:textId="77777777" w:rsidR="008D6D7B" w:rsidRDefault="00FE3C57" w:rsidP="004925B5">
            <w:pPr>
              <w:rPr>
                <w:rFonts w:cs="Arial"/>
              </w:rPr>
            </w:pPr>
            <w:sdt>
              <w:sdtPr>
                <w:rPr>
                  <w:rFonts w:cs="Arial"/>
                </w:rPr>
                <w:id w:val="1461767064"/>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44790624" w14:textId="77777777" w:rsidR="008D6D7B" w:rsidRDefault="00FE3C57" w:rsidP="004925B5">
            <w:pPr>
              <w:rPr>
                <w:rFonts w:cs="Arial"/>
              </w:rPr>
            </w:pPr>
            <w:sdt>
              <w:sdtPr>
                <w:rPr>
                  <w:rFonts w:cs="Arial"/>
                </w:rPr>
                <w:id w:val="-570344758"/>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71ED6AD1" w14:textId="77777777" w:rsidR="008D6D7B" w:rsidRDefault="00FE3C57" w:rsidP="004925B5">
            <w:pPr>
              <w:rPr>
                <w:rFonts w:cs="Arial"/>
              </w:rPr>
            </w:pPr>
            <w:sdt>
              <w:sdtPr>
                <w:rPr>
                  <w:rFonts w:cs="Arial"/>
                </w:rPr>
                <w:id w:val="-1320187580"/>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3C27C8AA" w14:textId="77777777" w:rsidR="008D6D7B" w:rsidRDefault="00FE3C57" w:rsidP="004925B5">
            <w:pPr>
              <w:rPr>
                <w:rFonts w:cs="Arial"/>
              </w:rPr>
            </w:pPr>
            <w:sdt>
              <w:sdtPr>
                <w:rPr>
                  <w:rFonts w:cs="Arial"/>
                </w:rPr>
                <w:id w:val="1370190175"/>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0241C591" w14:textId="77777777" w:rsidTr="008D6D7B">
        <w:trPr>
          <w:trHeight w:val="624"/>
        </w:trPr>
        <w:tc>
          <w:tcPr>
            <w:tcW w:w="4106" w:type="dxa"/>
            <w:vAlign w:val="center"/>
          </w:tcPr>
          <w:p w14:paraId="67D20D00" w14:textId="77777777" w:rsidR="008D6D7B" w:rsidRPr="001A3148" w:rsidRDefault="008D6D7B" w:rsidP="004925B5">
            <w:pPr>
              <w:jc w:val="left"/>
              <w:rPr>
                <w:rFonts w:cs="Arial"/>
              </w:rPr>
            </w:pPr>
            <w:r w:rsidRPr="001A3148">
              <w:rPr>
                <w:rFonts w:cs="Arial"/>
              </w:rPr>
              <w:t>Ability to stay / age in home and community longer</w:t>
            </w:r>
          </w:p>
        </w:tc>
        <w:tc>
          <w:tcPr>
            <w:tcW w:w="1382" w:type="dxa"/>
            <w:vAlign w:val="center"/>
          </w:tcPr>
          <w:p w14:paraId="0049ADAB" w14:textId="77777777" w:rsidR="008D6D7B" w:rsidRDefault="00FE3C57" w:rsidP="004925B5">
            <w:pPr>
              <w:rPr>
                <w:rFonts w:cs="Arial"/>
              </w:rPr>
            </w:pPr>
            <w:sdt>
              <w:sdtPr>
                <w:rPr>
                  <w:rFonts w:cs="Arial"/>
                </w:rPr>
                <w:id w:val="-77594978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2598257B" w14:textId="77777777" w:rsidR="008D6D7B" w:rsidRDefault="00FE3C57" w:rsidP="004925B5">
            <w:pPr>
              <w:rPr>
                <w:rFonts w:cs="Arial"/>
              </w:rPr>
            </w:pPr>
            <w:sdt>
              <w:sdtPr>
                <w:rPr>
                  <w:rFonts w:cs="Arial"/>
                </w:rPr>
                <w:id w:val="-193488295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58E2A78A" w14:textId="77777777" w:rsidR="008D6D7B" w:rsidRDefault="00FE3C57" w:rsidP="004925B5">
            <w:pPr>
              <w:rPr>
                <w:rFonts w:cs="Arial"/>
              </w:rPr>
            </w:pPr>
            <w:sdt>
              <w:sdtPr>
                <w:rPr>
                  <w:rFonts w:cs="Arial"/>
                </w:rPr>
                <w:id w:val="37166096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0A4248C8" w14:textId="77777777" w:rsidR="008D6D7B" w:rsidRDefault="00FE3C57" w:rsidP="004925B5">
            <w:pPr>
              <w:rPr>
                <w:rFonts w:cs="Arial"/>
              </w:rPr>
            </w:pPr>
            <w:sdt>
              <w:sdtPr>
                <w:rPr>
                  <w:rFonts w:cs="Arial"/>
                </w:rPr>
                <w:id w:val="280628848"/>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10E3C4E3" w14:textId="77777777" w:rsidTr="008D6D7B">
        <w:trPr>
          <w:trHeight w:val="624"/>
        </w:trPr>
        <w:tc>
          <w:tcPr>
            <w:tcW w:w="4106" w:type="dxa"/>
            <w:vAlign w:val="center"/>
          </w:tcPr>
          <w:p w14:paraId="3044ED78" w14:textId="77777777" w:rsidR="008D6D7B" w:rsidRPr="001A3148" w:rsidRDefault="008D6D7B" w:rsidP="004925B5">
            <w:pPr>
              <w:jc w:val="left"/>
              <w:rPr>
                <w:rFonts w:cs="Arial"/>
              </w:rPr>
            </w:pPr>
            <w:r w:rsidRPr="00887A08">
              <w:rPr>
                <w:rFonts w:cs="Arial"/>
              </w:rPr>
              <w:t>Delayed / reduced use of specialist housing</w:t>
            </w:r>
          </w:p>
        </w:tc>
        <w:tc>
          <w:tcPr>
            <w:tcW w:w="1382" w:type="dxa"/>
            <w:vAlign w:val="center"/>
          </w:tcPr>
          <w:p w14:paraId="5F56EB5D" w14:textId="77777777" w:rsidR="008D6D7B" w:rsidRDefault="00FE3C57" w:rsidP="004925B5">
            <w:pPr>
              <w:rPr>
                <w:rFonts w:cs="Arial"/>
              </w:rPr>
            </w:pPr>
            <w:sdt>
              <w:sdtPr>
                <w:rPr>
                  <w:rFonts w:cs="Arial"/>
                </w:rPr>
                <w:id w:val="-50845274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2490264E" w14:textId="77777777" w:rsidR="008D6D7B" w:rsidRDefault="00FE3C57" w:rsidP="004925B5">
            <w:pPr>
              <w:rPr>
                <w:rFonts w:cs="Arial"/>
              </w:rPr>
            </w:pPr>
            <w:sdt>
              <w:sdtPr>
                <w:rPr>
                  <w:rFonts w:cs="Arial"/>
                </w:rPr>
                <w:id w:val="558523851"/>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491A37CE" w14:textId="77777777" w:rsidR="008D6D7B" w:rsidRDefault="00FE3C57" w:rsidP="004925B5">
            <w:pPr>
              <w:rPr>
                <w:rFonts w:cs="Arial"/>
              </w:rPr>
            </w:pPr>
            <w:sdt>
              <w:sdtPr>
                <w:rPr>
                  <w:rFonts w:cs="Arial"/>
                </w:rPr>
                <w:id w:val="171723577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0DDBBFE4" w14:textId="77777777" w:rsidR="008D6D7B" w:rsidRDefault="00FE3C57" w:rsidP="004925B5">
            <w:pPr>
              <w:rPr>
                <w:rFonts w:cs="Arial"/>
              </w:rPr>
            </w:pPr>
            <w:sdt>
              <w:sdtPr>
                <w:rPr>
                  <w:rFonts w:cs="Arial"/>
                </w:rPr>
                <w:id w:val="-1317403593"/>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3935F9A4" w14:textId="77777777" w:rsidTr="008D6D7B">
        <w:trPr>
          <w:trHeight w:val="624"/>
        </w:trPr>
        <w:tc>
          <w:tcPr>
            <w:tcW w:w="4106" w:type="dxa"/>
            <w:vAlign w:val="center"/>
          </w:tcPr>
          <w:p w14:paraId="0D04F709" w14:textId="77777777" w:rsidR="008D6D7B" w:rsidRPr="00887A08" w:rsidRDefault="008D6D7B" w:rsidP="004925B5">
            <w:pPr>
              <w:jc w:val="left"/>
              <w:rPr>
                <w:rFonts w:cs="Arial"/>
              </w:rPr>
            </w:pPr>
            <w:r w:rsidRPr="00887A08">
              <w:rPr>
                <w:rFonts w:cs="Arial"/>
              </w:rPr>
              <w:t>A greater choice of accommodation options</w:t>
            </w:r>
          </w:p>
        </w:tc>
        <w:tc>
          <w:tcPr>
            <w:tcW w:w="1382" w:type="dxa"/>
            <w:vAlign w:val="center"/>
          </w:tcPr>
          <w:p w14:paraId="1285BB16" w14:textId="77777777" w:rsidR="008D6D7B" w:rsidRDefault="00FE3C57" w:rsidP="004925B5">
            <w:pPr>
              <w:rPr>
                <w:rFonts w:cs="Arial"/>
              </w:rPr>
            </w:pPr>
            <w:sdt>
              <w:sdtPr>
                <w:rPr>
                  <w:rFonts w:cs="Arial"/>
                </w:rPr>
                <w:id w:val="-58538256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2F66F1EA" w14:textId="77777777" w:rsidR="008D6D7B" w:rsidRDefault="00FE3C57" w:rsidP="004925B5">
            <w:pPr>
              <w:rPr>
                <w:rFonts w:cs="Arial"/>
              </w:rPr>
            </w:pPr>
            <w:sdt>
              <w:sdtPr>
                <w:rPr>
                  <w:rFonts w:cs="Arial"/>
                </w:rPr>
                <w:id w:val="1316299580"/>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1B5B7D52" w14:textId="77777777" w:rsidR="008D6D7B" w:rsidRDefault="00FE3C57" w:rsidP="004925B5">
            <w:pPr>
              <w:rPr>
                <w:rFonts w:cs="Arial"/>
              </w:rPr>
            </w:pPr>
            <w:sdt>
              <w:sdtPr>
                <w:rPr>
                  <w:rFonts w:cs="Arial"/>
                </w:rPr>
                <w:id w:val="-14398354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382" w:type="dxa"/>
            <w:vAlign w:val="center"/>
          </w:tcPr>
          <w:p w14:paraId="1FE36811" w14:textId="77777777" w:rsidR="008D6D7B" w:rsidRDefault="00FE3C57" w:rsidP="004925B5">
            <w:pPr>
              <w:rPr>
                <w:rFonts w:cs="Arial"/>
              </w:rPr>
            </w:pPr>
            <w:sdt>
              <w:sdtPr>
                <w:rPr>
                  <w:rFonts w:cs="Arial"/>
                </w:rPr>
                <w:id w:val="158534121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bl>
    <w:p w14:paraId="71655267" w14:textId="6D66A5CD" w:rsidR="00302840" w:rsidRPr="008D6D7B" w:rsidRDefault="00302840" w:rsidP="008D6D7B">
      <w:pPr>
        <w:pBdr>
          <w:bottom w:val="single" w:sz="4" w:space="1" w:color="auto"/>
        </w:pBdr>
        <w:spacing w:before="240" w:after="120"/>
        <w:rPr>
          <w:rFonts w:cs="Arial"/>
        </w:rPr>
      </w:pPr>
    </w:p>
    <w:p w14:paraId="079D4D96" w14:textId="5BF7D8E7" w:rsidR="008D6D7B" w:rsidRDefault="008D6D7B" w:rsidP="00302840">
      <w:pPr>
        <w:rPr>
          <w:rFonts w:cs="Arial"/>
        </w:rPr>
      </w:pPr>
      <w:r>
        <w:rPr>
          <w:rFonts w:cs="Arial"/>
        </w:rPr>
        <w:t>27.</w:t>
      </w:r>
      <w:r>
        <w:rPr>
          <w:rFonts w:cs="Arial"/>
        </w:rPr>
        <w:tab/>
      </w:r>
      <w:r w:rsidR="00F72E3D">
        <w:rPr>
          <w:rFonts w:cs="Arial"/>
        </w:rPr>
        <w:t>What factors may influence whether</w:t>
      </w:r>
      <w:r w:rsidR="00302840" w:rsidRPr="00887A08">
        <w:rPr>
          <w:rFonts w:cs="Arial"/>
        </w:rPr>
        <w:t xml:space="preserve"> these </w:t>
      </w:r>
      <w:r>
        <w:rPr>
          <w:rFonts w:cs="Arial"/>
        </w:rPr>
        <w:t xml:space="preserve">benefits </w:t>
      </w:r>
      <w:r w:rsidR="00F72E3D">
        <w:rPr>
          <w:rFonts w:cs="Arial"/>
        </w:rPr>
        <w:t>are</w:t>
      </w:r>
      <w:r>
        <w:rPr>
          <w:rFonts w:cs="Arial"/>
        </w:rPr>
        <w:t xml:space="preserve"> realised? </w:t>
      </w:r>
    </w:p>
    <w:p w14:paraId="00B5F94B" w14:textId="77777777" w:rsidR="008D6D7B" w:rsidRDefault="008D6D7B" w:rsidP="008D6D7B">
      <w:pPr>
        <w:pBdr>
          <w:bottom w:val="single" w:sz="4" w:space="1" w:color="auto"/>
        </w:pBdr>
        <w:rPr>
          <w:rFonts w:cs="Arial"/>
          <w:b/>
        </w:rPr>
      </w:pPr>
      <w:r>
        <w:rPr>
          <w:rFonts w:cs="Arial"/>
        </w:rPr>
        <w:tab/>
      </w:r>
      <w:sdt>
        <w:sdtPr>
          <w:rPr>
            <w:rFonts w:cs="Arial"/>
          </w:rPr>
          <w:id w:val="-2143497200"/>
          <w:placeholder>
            <w:docPart w:val="5BFB2AC051684FFFA789D1E8654DD6C8"/>
          </w:placeholder>
          <w:showingPlcHdr/>
          <w:text/>
        </w:sdtPr>
        <w:sdtEndPr/>
        <w:sdtContent>
          <w:r w:rsidRPr="004D55AA">
            <w:rPr>
              <w:rStyle w:val="PlaceholderText"/>
              <w:rFonts w:cs="Arial"/>
              <w:i/>
            </w:rPr>
            <w:t>Click here to enter text.</w:t>
          </w:r>
        </w:sdtContent>
      </w:sdt>
      <w:r w:rsidRPr="00887A08">
        <w:rPr>
          <w:rFonts w:cs="Arial"/>
          <w:b/>
        </w:rPr>
        <w:t xml:space="preserve"> </w:t>
      </w:r>
    </w:p>
    <w:p w14:paraId="639A81DD" w14:textId="043B22B5" w:rsidR="008D6D7B" w:rsidRDefault="008D6D7B" w:rsidP="008D6D7B">
      <w:pPr>
        <w:pStyle w:val="Heading2"/>
      </w:pPr>
      <w:r>
        <w:t>Question about the Preliminary Costings</w:t>
      </w:r>
    </w:p>
    <w:p w14:paraId="0717C0CE" w14:textId="36A25C09" w:rsidR="00302840" w:rsidRDefault="008D6D7B" w:rsidP="008D6D7B">
      <w:r>
        <w:t>These questions are about the preliminary cost estimates for accessible housing. These estimates are detail in the section titled ‘</w:t>
      </w:r>
      <w:r>
        <w:rPr>
          <w:b/>
        </w:rPr>
        <w:t>Preliminary Costings</w:t>
      </w:r>
      <w:r w:rsidR="007E33BC">
        <w:rPr>
          <w:b/>
        </w:rPr>
        <w:t>—New Buildings</w:t>
      </w:r>
      <w:r>
        <w:t>’.</w:t>
      </w:r>
    </w:p>
    <w:p w14:paraId="4DF53172" w14:textId="77777777" w:rsidR="008D6D7B" w:rsidRPr="008D6D7B" w:rsidRDefault="008D6D7B" w:rsidP="008D6D7B"/>
    <w:p w14:paraId="354C5037" w14:textId="272B0E0C" w:rsidR="00302840" w:rsidRDefault="008D6D7B" w:rsidP="00302840">
      <w:pPr>
        <w:spacing w:before="240" w:after="120"/>
        <w:rPr>
          <w:rFonts w:cs="Arial"/>
        </w:rPr>
      </w:pPr>
      <w:r>
        <w:rPr>
          <w:rFonts w:cs="Arial"/>
        </w:rPr>
        <w:t xml:space="preserve">28. </w:t>
      </w:r>
      <w:r>
        <w:rPr>
          <w:rFonts w:cs="Arial"/>
        </w:rPr>
        <w:tab/>
      </w:r>
      <w:r w:rsidR="00302840" w:rsidRPr="00887A08">
        <w:rPr>
          <w:rFonts w:cs="Arial"/>
        </w:rPr>
        <w:t xml:space="preserve">Overall, in your opinion, how much </w:t>
      </w:r>
      <w:r>
        <w:rPr>
          <w:rFonts w:cs="Arial"/>
        </w:rPr>
        <w:t xml:space="preserve">do you agree or disagree that with the statements </w:t>
      </w:r>
      <w:r>
        <w:rPr>
          <w:rFonts w:cs="Arial"/>
        </w:rPr>
        <w:tab/>
        <w:t>below?</w:t>
      </w:r>
    </w:p>
    <w:p w14:paraId="1FC71C0A" w14:textId="47074B04" w:rsidR="008D6D7B" w:rsidRDefault="008D6D7B" w:rsidP="00302840">
      <w:pPr>
        <w:spacing w:before="240" w:after="120"/>
        <w:rPr>
          <w:rFonts w:cs="Arial"/>
        </w:rPr>
      </w:pPr>
      <w:r>
        <w:rPr>
          <w:rFonts w:cs="Arial"/>
          <w:i/>
        </w:rPr>
        <w:tab/>
      </w:r>
      <w:r w:rsidRPr="00900AD6">
        <w:rPr>
          <w:rFonts w:cs="Arial"/>
          <w:i/>
        </w:rPr>
        <w:t xml:space="preserve">Tick one </w:t>
      </w:r>
      <w:r>
        <w:rPr>
          <w:rFonts w:cs="Arial"/>
          <w:i/>
        </w:rPr>
        <w:t xml:space="preserve">box </w:t>
      </w:r>
      <w:r w:rsidRPr="00900AD6">
        <w:rPr>
          <w:rFonts w:cs="Arial"/>
          <w:i/>
        </w:rPr>
        <w:t xml:space="preserve">in </w:t>
      </w:r>
      <w:r>
        <w:rPr>
          <w:rFonts w:cs="Arial"/>
          <w:i/>
        </w:rPr>
        <w:t xml:space="preserve">each row of </w:t>
      </w:r>
      <w:r w:rsidRPr="00900AD6">
        <w:rPr>
          <w:rFonts w:cs="Arial"/>
          <w:i/>
        </w:rPr>
        <w:t xml:space="preserve">the table below, where ‘1’ means ‘strongly disagree’ and </w:t>
      </w:r>
      <w:r>
        <w:rPr>
          <w:rFonts w:cs="Arial"/>
          <w:i/>
        </w:rPr>
        <w:tab/>
        <w:t>‘</w:t>
      </w:r>
      <w:r w:rsidRPr="00900AD6">
        <w:rPr>
          <w:rFonts w:cs="Arial"/>
          <w:i/>
        </w:rPr>
        <w:t>5</w:t>
      </w:r>
      <w:r>
        <w:rPr>
          <w:rFonts w:cs="Arial"/>
          <w:i/>
        </w:rPr>
        <w:t>’ means ‘strongly agree’.</w:t>
      </w:r>
    </w:p>
    <w:tbl>
      <w:tblPr>
        <w:tblStyle w:val="TableGrid"/>
        <w:tblW w:w="9634" w:type="dxa"/>
        <w:tblLayout w:type="fixed"/>
        <w:tblLook w:val="04A0" w:firstRow="1" w:lastRow="0" w:firstColumn="1" w:lastColumn="0" w:noHBand="0" w:noVBand="1"/>
        <w:tblCaption w:val="Question 28 response table"/>
      </w:tblPr>
      <w:tblGrid>
        <w:gridCol w:w="4106"/>
        <w:gridCol w:w="1105"/>
        <w:gridCol w:w="1106"/>
        <w:gridCol w:w="1105"/>
        <w:gridCol w:w="1106"/>
        <w:gridCol w:w="1106"/>
      </w:tblGrid>
      <w:tr w:rsidR="008D6D7B" w:rsidRPr="00900AD6" w14:paraId="129E6DBB" w14:textId="77777777" w:rsidTr="000D3298">
        <w:trPr>
          <w:trHeight w:val="340"/>
          <w:tblHeader/>
        </w:trPr>
        <w:tc>
          <w:tcPr>
            <w:tcW w:w="4106" w:type="dxa"/>
            <w:shd w:val="clear" w:color="auto" w:fill="D9D9D9" w:themeFill="background1" w:themeFillShade="D9"/>
            <w:vAlign w:val="center"/>
          </w:tcPr>
          <w:p w14:paraId="35A85D57" w14:textId="46F0BA32" w:rsidR="008D6D7B" w:rsidRPr="00900AD6" w:rsidRDefault="008D6D7B" w:rsidP="004925B5">
            <w:pPr>
              <w:rPr>
                <w:rFonts w:cs="Arial"/>
                <w:b/>
              </w:rPr>
            </w:pPr>
            <w:r>
              <w:rPr>
                <w:rFonts w:cs="Arial"/>
                <w:b/>
              </w:rPr>
              <w:t>Statement</w:t>
            </w:r>
          </w:p>
        </w:tc>
        <w:tc>
          <w:tcPr>
            <w:tcW w:w="1105" w:type="dxa"/>
            <w:shd w:val="clear" w:color="auto" w:fill="D9D9D9" w:themeFill="background1" w:themeFillShade="D9"/>
            <w:vAlign w:val="center"/>
          </w:tcPr>
          <w:p w14:paraId="17119465" w14:textId="77777777" w:rsidR="008D6D7B" w:rsidRPr="00900AD6" w:rsidRDefault="008D6D7B" w:rsidP="004925B5">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1876AC9A" w14:textId="77777777" w:rsidR="008D6D7B" w:rsidRPr="00900AD6" w:rsidRDefault="008D6D7B" w:rsidP="004925B5">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1BC8557B" w14:textId="77777777" w:rsidR="008D6D7B" w:rsidRPr="00900AD6" w:rsidRDefault="008D6D7B" w:rsidP="004925B5">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6F8418BC" w14:textId="77777777" w:rsidR="008D6D7B" w:rsidRPr="00900AD6" w:rsidRDefault="008D6D7B" w:rsidP="004925B5">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39B5E852" w14:textId="77777777" w:rsidR="008D6D7B" w:rsidRPr="00900AD6" w:rsidRDefault="008D6D7B" w:rsidP="004925B5">
            <w:pPr>
              <w:jc w:val="center"/>
              <w:rPr>
                <w:rFonts w:cs="Arial"/>
                <w:b/>
                <w:sz w:val="20"/>
                <w:szCs w:val="20"/>
              </w:rPr>
            </w:pPr>
            <w:r w:rsidRPr="00900AD6">
              <w:rPr>
                <w:rFonts w:cs="Arial"/>
                <w:b/>
                <w:sz w:val="20"/>
                <w:szCs w:val="20"/>
              </w:rPr>
              <w:t>5</w:t>
            </w:r>
          </w:p>
        </w:tc>
      </w:tr>
      <w:tr w:rsidR="008D6D7B" w:rsidRPr="00887A08" w14:paraId="135C9A76" w14:textId="77777777" w:rsidTr="004925B5">
        <w:trPr>
          <w:trHeight w:val="624"/>
        </w:trPr>
        <w:tc>
          <w:tcPr>
            <w:tcW w:w="4106" w:type="dxa"/>
            <w:vAlign w:val="center"/>
          </w:tcPr>
          <w:p w14:paraId="62E44D8A" w14:textId="4B7025E5" w:rsidR="008D6D7B" w:rsidRPr="00887A08" w:rsidRDefault="008D6D7B" w:rsidP="004925B5">
            <w:pPr>
              <w:jc w:val="left"/>
              <w:rPr>
                <w:rFonts w:cs="Arial"/>
              </w:rPr>
            </w:pPr>
            <w:r w:rsidRPr="008D6D7B">
              <w:rPr>
                <w:rFonts w:cs="Arial"/>
              </w:rPr>
              <w:t>The methodology for estimating costs is appropriate</w:t>
            </w:r>
          </w:p>
        </w:tc>
        <w:tc>
          <w:tcPr>
            <w:tcW w:w="1105" w:type="dxa"/>
            <w:vAlign w:val="center"/>
          </w:tcPr>
          <w:p w14:paraId="6B7F8038" w14:textId="77777777" w:rsidR="008D6D7B" w:rsidRPr="00887A08" w:rsidRDefault="00FE3C57" w:rsidP="004925B5">
            <w:pPr>
              <w:rPr>
                <w:rFonts w:cs="Arial"/>
              </w:rPr>
            </w:pPr>
            <w:sdt>
              <w:sdtPr>
                <w:rPr>
                  <w:rFonts w:cs="Arial"/>
                </w:rPr>
                <w:id w:val="-797366735"/>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1566E36D" w14:textId="77777777" w:rsidR="008D6D7B" w:rsidRPr="00887A08" w:rsidRDefault="00FE3C57" w:rsidP="004925B5">
            <w:pPr>
              <w:rPr>
                <w:rFonts w:cs="Arial"/>
              </w:rPr>
            </w:pPr>
            <w:sdt>
              <w:sdtPr>
                <w:rPr>
                  <w:rFonts w:cs="Arial"/>
                </w:rPr>
                <w:id w:val="-2030093428"/>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5" w:type="dxa"/>
            <w:vAlign w:val="center"/>
          </w:tcPr>
          <w:p w14:paraId="272F8279" w14:textId="77777777" w:rsidR="008D6D7B" w:rsidRPr="00887A08" w:rsidRDefault="00FE3C57" w:rsidP="004925B5">
            <w:pPr>
              <w:rPr>
                <w:rFonts w:cs="Arial"/>
              </w:rPr>
            </w:pPr>
            <w:sdt>
              <w:sdtPr>
                <w:rPr>
                  <w:rFonts w:cs="Arial"/>
                </w:rPr>
                <w:id w:val="-923179024"/>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64AD266F" w14:textId="77777777" w:rsidR="008D6D7B" w:rsidRPr="00887A08" w:rsidRDefault="00FE3C57" w:rsidP="004925B5">
            <w:pPr>
              <w:rPr>
                <w:rFonts w:cs="Arial"/>
              </w:rPr>
            </w:pPr>
            <w:sdt>
              <w:sdtPr>
                <w:rPr>
                  <w:rFonts w:cs="Arial"/>
                </w:rPr>
                <w:id w:val="-1470121920"/>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61A85F4B" w14:textId="77777777" w:rsidR="008D6D7B" w:rsidRPr="00887A08" w:rsidRDefault="00FE3C57" w:rsidP="004925B5">
            <w:pPr>
              <w:rPr>
                <w:rFonts w:cs="Arial"/>
              </w:rPr>
            </w:pPr>
            <w:sdt>
              <w:sdtPr>
                <w:rPr>
                  <w:rFonts w:cs="Arial"/>
                </w:rPr>
                <w:id w:val="-858112202"/>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rsidRPr="00887A08" w14:paraId="0FB04C08" w14:textId="77777777" w:rsidTr="004925B5">
        <w:trPr>
          <w:trHeight w:val="624"/>
        </w:trPr>
        <w:tc>
          <w:tcPr>
            <w:tcW w:w="4106" w:type="dxa"/>
            <w:vAlign w:val="center"/>
          </w:tcPr>
          <w:p w14:paraId="629E6F04" w14:textId="36F49973" w:rsidR="008D6D7B" w:rsidRPr="001A3148" w:rsidRDefault="008D6D7B" w:rsidP="004925B5">
            <w:pPr>
              <w:jc w:val="left"/>
              <w:rPr>
                <w:rFonts w:cs="Arial"/>
              </w:rPr>
            </w:pPr>
            <w:r w:rsidRPr="008D6D7B">
              <w:rPr>
                <w:rFonts w:cs="Arial"/>
              </w:rPr>
              <w:t>The estimated costs for each option are accurate</w:t>
            </w:r>
          </w:p>
        </w:tc>
        <w:tc>
          <w:tcPr>
            <w:tcW w:w="1105" w:type="dxa"/>
            <w:vAlign w:val="center"/>
          </w:tcPr>
          <w:p w14:paraId="7315D799" w14:textId="77777777" w:rsidR="008D6D7B" w:rsidRDefault="00FE3C57" w:rsidP="004925B5">
            <w:pPr>
              <w:rPr>
                <w:rFonts w:cs="Arial"/>
              </w:rPr>
            </w:pPr>
            <w:sdt>
              <w:sdtPr>
                <w:rPr>
                  <w:rFonts w:cs="Arial"/>
                </w:rPr>
                <w:id w:val="145799689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27FCFF0C" w14:textId="77777777" w:rsidR="008D6D7B" w:rsidRDefault="00FE3C57" w:rsidP="004925B5">
            <w:pPr>
              <w:rPr>
                <w:rFonts w:cs="Arial"/>
              </w:rPr>
            </w:pPr>
            <w:sdt>
              <w:sdtPr>
                <w:rPr>
                  <w:rFonts w:cs="Arial"/>
                </w:rPr>
                <w:id w:val="184234364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5" w:type="dxa"/>
            <w:vAlign w:val="center"/>
          </w:tcPr>
          <w:p w14:paraId="2FD12994" w14:textId="77777777" w:rsidR="008D6D7B" w:rsidRDefault="00FE3C57" w:rsidP="004925B5">
            <w:pPr>
              <w:rPr>
                <w:rFonts w:cs="Arial"/>
              </w:rPr>
            </w:pPr>
            <w:sdt>
              <w:sdtPr>
                <w:rPr>
                  <w:rFonts w:cs="Arial"/>
                </w:rPr>
                <w:id w:val="-1951083204"/>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0634F1C7" w14:textId="77777777" w:rsidR="008D6D7B" w:rsidRDefault="00FE3C57" w:rsidP="004925B5">
            <w:pPr>
              <w:rPr>
                <w:rFonts w:cs="Arial"/>
              </w:rPr>
            </w:pPr>
            <w:sdt>
              <w:sdtPr>
                <w:rPr>
                  <w:rFonts w:cs="Arial"/>
                </w:rPr>
                <w:id w:val="-1023941870"/>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382C1F0F" w14:textId="77777777" w:rsidR="008D6D7B" w:rsidRDefault="00FE3C57" w:rsidP="004925B5">
            <w:pPr>
              <w:rPr>
                <w:rFonts w:cs="Arial"/>
              </w:rPr>
            </w:pPr>
            <w:sdt>
              <w:sdtPr>
                <w:rPr>
                  <w:rFonts w:cs="Arial"/>
                </w:rPr>
                <w:id w:val="-1926100817"/>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bl>
    <w:p w14:paraId="52FBF677" w14:textId="77777777" w:rsidR="008D6D7B" w:rsidRDefault="008D6D7B" w:rsidP="0064120C">
      <w:pPr>
        <w:spacing w:before="240" w:after="120"/>
        <w:rPr>
          <w:rFonts w:cs="Arial"/>
        </w:rPr>
      </w:pPr>
    </w:p>
    <w:p w14:paraId="1E4C1A54" w14:textId="77777777" w:rsidR="0064120C" w:rsidRDefault="0064120C" w:rsidP="0064120C">
      <w:pPr>
        <w:spacing w:before="240" w:after="120"/>
        <w:rPr>
          <w:rFonts w:cs="Arial"/>
        </w:rPr>
      </w:pPr>
    </w:p>
    <w:p w14:paraId="018C566F" w14:textId="77777777" w:rsidR="0064120C" w:rsidRDefault="0064120C" w:rsidP="008D6D7B">
      <w:pPr>
        <w:pBdr>
          <w:bottom w:val="single" w:sz="4" w:space="1" w:color="auto"/>
        </w:pBdr>
        <w:spacing w:before="240" w:after="120"/>
        <w:rPr>
          <w:rFonts w:cs="Arial"/>
        </w:rPr>
      </w:pPr>
    </w:p>
    <w:p w14:paraId="3B0D6796" w14:textId="396F2D6E" w:rsidR="00302840" w:rsidRDefault="008D6D7B" w:rsidP="00302840">
      <w:pPr>
        <w:spacing w:before="240" w:after="120"/>
        <w:rPr>
          <w:rFonts w:cs="Arial"/>
        </w:rPr>
      </w:pPr>
      <w:r>
        <w:rPr>
          <w:rFonts w:cs="Arial"/>
        </w:rPr>
        <w:t>29.</w:t>
      </w:r>
      <w:r w:rsidR="00302840">
        <w:rPr>
          <w:rFonts w:cs="Arial"/>
        </w:rPr>
        <w:t xml:space="preserve"> </w:t>
      </w:r>
      <w:r>
        <w:rPr>
          <w:rFonts w:cs="Arial"/>
        </w:rPr>
        <w:tab/>
      </w:r>
      <w:r w:rsidR="00302840" w:rsidRPr="00887A08">
        <w:rPr>
          <w:rFonts w:cs="Arial"/>
        </w:rPr>
        <w:t>Please expa</w:t>
      </w:r>
      <w:r>
        <w:rPr>
          <w:rFonts w:cs="Arial"/>
        </w:rPr>
        <w:t>nd on your responses to question 28?</w:t>
      </w:r>
    </w:p>
    <w:p w14:paraId="0C4BB06D" w14:textId="61C968B8" w:rsidR="00302840" w:rsidRPr="00887A08" w:rsidRDefault="00FE3C57" w:rsidP="008D6D7B">
      <w:pPr>
        <w:pBdr>
          <w:bottom w:val="single" w:sz="4" w:space="1" w:color="auto"/>
        </w:pBdr>
        <w:spacing w:before="240" w:after="120"/>
        <w:rPr>
          <w:rFonts w:cs="Arial"/>
        </w:rPr>
      </w:pPr>
      <w:sdt>
        <w:sdtPr>
          <w:rPr>
            <w:rFonts w:cs="Arial"/>
          </w:rPr>
          <w:id w:val="-490176786"/>
          <w:placeholder>
            <w:docPart w:val="BCD3A698E6B648E6BDE1B73B7615F265"/>
          </w:placeholder>
          <w:showingPlcHdr/>
          <w:text/>
        </w:sdtPr>
        <w:sdtEndPr/>
        <w:sdtContent>
          <w:r w:rsidR="008D6D7B" w:rsidRPr="004D55AA">
            <w:rPr>
              <w:rStyle w:val="PlaceholderText"/>
              <w:rFonts w:cs="Arial"/>
              <w:i/>
            </w:rPr>
            <w:t>Click here to enter text.</w:t>
          </w:r>
        </w:sdtContent>
      </w:sdt>
    </w:p>
    <w:p w14:paraId="4EBBEB49" w14:textId="137207C4" w:rsidR="00302840" w:rsidRDefault="008D6D7B" w:rsidP="00302840">
      <w:pPr>
        <w:spacing w:before="240" w:after="120"/>
        <w:rPr>
          <w:rFonts w:cs="Arial"/>
        </w:rPr>
      </w:pPr>
      <w:r>
        <w:rPr>
          <w:rFonts w:cs="Arial"/>
        </w:rPr>
        <w:t>30.</w:t>
      </w:r>
      <w:r w:rsidR="00302840">
        <w:rPr>
          <w:rFonts w:cs="Arial"/>
        </w:rPr>
        <w:t xml:space="preserve"> </w:t>
      </w:r>
      <w:r>
        <w:rPr>
          <w:rFonts w:cs="Arial"/>
        </w:rPr>
        <w:tab/>
      </w:r>
      <w:r w:rsidR="00302840" w:rsidRPr="00887A08">
        <w:rPr>
          <w:rFonts w:cs="Arial"/>
        </w:rPr>
        <w:t xml:space="preserve">What factors may influence if these costs will be realised? </w:t>
      </w:r>
    </w:p>
    <w:p w14:paraId="1A3E375F" w14:textId="7F438028" w:rsidR="00302840" w:rsidRPr="00887A08" w:rsidRDefault="00FE3C57" w:rsidP="008D6D7B">
      <w:pPr>
        <w:pBdr>
          <w:bottom w:val="single" w:sz="4" w:space="1" w:color="auto"/>
        </w:pBdr>
        <w:spacing w:before="240" w:after="120"/>
        <w:rPr>
          <w:rFonts w:cs="Arial"/>
        </w:rPr>
      </w:pPr>
      <w:sdt>
        <w:sdtPr>
          <w:rPr>
            <w:rFonts w:cs="Arial"/>
          </w:rPr>
          <w:id w:val="-2070416364"/>
          <w:placeholder>
            <w:docPart w:val="3868780897A64CBCAFD2DB9771CB2DBA"/>
          </w:placeholder>
          <w:showingPlcHdr/>
          <w:text/>
        </w:sdtPr>
        <w:sdtEndPr/>
        <w:sdtContent>
          <w:r w:rsidR="008D6D7B" w:rsidRPr="004D55AA">
            <w:rPr>
              <w:rStyle w:val="PlaceholderText"/>
              <w:rFonts w:cs="Arial"/>
              <w:i/>
            </w:rPr>
            <w:t>Click here to enter text.</w:t>
          </w:r>
        </w:sdtContent>
      </w:sdt>
    </w:p>
    <w:p w14:paraId="5FDF07E8" w14:textId="75286B58" w:rsidR="00302840" w:rsidRDefault="008D6D7B" w:rsidP="00302840">
      <w:pPr>
        <w:spacing w:before="240" w:after="120"/>
        <w:rPr>
          <w:rFonts w:cs="Arial"/>
        </w:rPr>
      </w:pPr>
      <w:r>
        <w:rPr>
          <w:rFonts w:cs="Arial"/>
        </w:rPr>
        <w:t>31.</w:t>
      </w:r>
      <w:r>
        <w:rPr>
          <w:rFonts w:cs="Arial"/>
        </w:rPr>
        <w:tab/>
      </w:r>
      <w:r w:rsidR="00302840" w:rsidRPr="00887A08">
        <w:rPr>
          <w:rFonts w:cs="Arial"/>
        </w:rPr>
        <w:t xml:space="preserve">For each of the three Options, to what extent do you agree or disagree that the benefits </w:t>
      </w:r>
      <w:r>
        <w:rPr>
          <w:rFonts w:cs="Arial"/>
        </w:rPr>
        <w:tab/>
      </w:r>
      <w:r w:rsidR="00302840" w:rsidRPr="00887A08">
        <w:rPr>
          <w:rFonts w:cs="Arial"/>
        </w:rPr>
        <w:t>of requiring an accessible housing standard outweigh the additional costs?</w:t>
      </w:r>
    </w:p>
    <w:tbl>
      <w:tblPr>
        <w:tblStyle w:val="TableGrid"/>
        <w:tblW w:w="9634" w:type="dxa"/>
        <w:tblLayout w:type="fixed"/>
        <w:tblLook w:val="04A0" w:firstRow="1" w:lastRow="0" w:firstColumn="1" w:lastColumn="0" w:noHBand="0" w:noVBand="1"/>
        <w:tblCaption w:val="Question 31 response table"/>
      </w:tblPr>
      <w:tblGrid>
        <w:gridCol w:w="4106"/>
        <w:gridCol w:w="1105"/>
        <w:gridCol w:w="1106"/>
        <w:gridCol w:w="1105"/>
        <w:gridCol w:w="1106"/>
        <w:gridCol w:w="1106"/>
      </w:tblGrid>
      <w:tr w:rsidR="008D6D7B" w:rsidRPr="00900AD6" w14:paraId="00005807" w14:textId="77777777" w:rsidTr="000D3298">
        <w:trPr>
          <w:trHeight w:val="340"/>
          <w:tblHeader/>
        </w:trPr>
        <w:tc>
          <w:tcPr>
            <w:tcW w:w="4106" w:type="dxa"/>
            <w:shd w:val="clear" w:color="auto" w:fill="D9D9D9" w:themeFill="background1" w:themeFillShade="D9"/>
            <w:vAlign w:val="center"/>
          </w:tcPr>
          <w:p w14:paraId="27E52DE1" w14:textId="5D978118" w:rsidR="008D6D7B" w:rsidRPr="00900AD6" w:rsidRDefault="008D6D7B" w:rsidP="004925B5">
            <w:pPr>
              <w:rPr>
                <w:rFonts w:cs="Arial"/>
                <w:b/>
              </w:rPr>
            </w:pPr>
            <w:r>
              <w:rPr>
                <w:rFonts w:cs="Arial"/>
                <w:b/>
              </w:rPr>
              <w:t>Option</w:t>
            </w:r>
          </w:p>
        </w:tc>
        <w:tc>
          <w:tcPr>
            <w:tcW w:w="1105" w:type="dxa"/>
            <w:shd w:val="clear" w:color="auto" w:fill="D9D9D9" w:themeFill="background1" w:themeFillShade="D9"/>
            <w:vAlign w:val="center"/>
          </w:tcPr>
          <w:p w14:paraId="1E1DCDA8" w14:textId="77777777" w:rsidR="008D6D7B" w:rsidRPr="00900AD6" w:rsidRDefault="008D6D7B" w:rsidP="004925B5">
            <w:pPr>
              <w:jc w:val="center"/>
              <w:rPr>
                <w:rFonts w:cs="Arial"/>
                <w:b/>
                <w:sz w:val="20"/>
                <w:szCs w:val="20"/>
              </w:rPr>
            </w:pPr>
            <w:r w:rsidRPr="00900AD6">
              <w:rPr>
                <w:rFonts w:cs="Arial"/>
                <w:b/>
                <w:sz w:val="20"/>
                <w:szCs w:val="20"/>
              </w:rPr>
              <w:t>1</w:t>
            </w:r>
          </w:p>
        </w:tc>
        <w:tc>
          <w:tcPr>
            <w:tcW w:w="1106" w:type="dxa"/>
            <w:shd w:val="clear" w:color="auto" w:fill="D9D9D9" w:themeFill="background1" w:themeFillShade="D9"/>
            <w:vAlign w:val="center"/>
          </w:tcPr>
          <w:p w14:paraId="7867735B" w14:textId="77777777" w:rsidR="008D6D7B" w:rsidRPr="00900AD6" w:rsidRDefault="008D6D7B" w:rsidP="004925B5">
            <w:pPr>
              <w:jc w:val="center"/>
              <w:rPr>
                <w:rFonts w:cs="Arial"/>
                <w:b/>
                <w:sz w:val="20"/>
                <w:szCs w:val="20"/>
              </w:rPr>
            </w:pPr>
            <w:r w:rsidRPr="00900AD6">
              <w:rPr>
                <w:rFonts w:cs="Arial"/>
                <w:b/>
                <w:sz w:val="20"/>
                <w:szCs w:val="20"/>
              </w:rPr>
              <w:t>2</w:t>
            </w:r>
          </w:p>
        </w:tc>
        <w:tc>
          <w:tcPr>
            <w:tcW w:w="1105" w:type="dxa"/>
            <w:shd w:val="clear" w:color="auto" w:fill="D9D9D9" w:themeFill="background1" w:themeFillShade="D9"/>
            <w:vAlign w:val="center"/>
          </w:tcPr>
          <w:p w14:paraId="33C15548" w14:textId="77777777" w:rsidR="008D6D7B" w:rsidRPr="00900AD6" w:rsidRDefault="008D6D7B" w:rsidP="004925B5">
            <w:pPr>
              <w:jc w:val="center"/>
              <w:rPr>
                <w:rFonts w:cs="Arial"/>
                <w:b/>
                <w:sz w:val="20"/>
                <w:szCs w:val="20"/>
              </w:rPr>
            </w:pPr>
            <w:r w:rsidRPr="00900AD6">
              <w:rPr>
                <w:rFonts w:cs="Arial"/>
                <w:b/>
                <w:sz w:val="20"/>
                <w:szCs w:val="20"/>
              </w:rPr>
              <w:t>3</w:t>
            </w:r>
          </w:p>
        </w:tc>
        <w:tc>
          <w:tcPr>
            <w:tcW w:w="1106" w:type="dxa"/>
            <w:shd w:val="clear" w:color="auto" w:fill="D9D9D9" w:themeFill="background1" w:themeFillShade="D9"/>
            <w:vAlign w:val="center"/>
          </w:tcPr>
          <w:p w14:paraId="1AF1824D" w14:textId="77777777" w:rsidR="008D6D7B" w:rsidRPr="00900AD6" w:rsidRDefault="008D6D7B" w:rsidP="004925B5">
            <w:pPr>
              <w:jc w:val="center"/>
              <w:rPr>
                <w:rFonts w:cs="Arial"/>
                <w:b/>
                <w:sz w:val="20"/>
                <w:szCs w:val="20"/>
              </w:rPr>
            </w:pPr>
            <w:r w:rsidRPr="00900AD6">
              <w:rPr>
                <w:rFonts w:cs="Arial"/>
                <w:b/>
                <w:sz w:val="20"/>
                <w:szCs w:val="20"/>
              </w:rPr>
              <w:t>4</w:t>
            </w:r>
          </w:p>
        </w:tc>
        <w:tc>
          <w:tcPr>
            <w:tcW w:w="1106" w:type="dxa"/>
            <w:shd w:val="clear" w:color="auto" w:fill="D9D9D9" w:themeFill="background1" w:themeFillShade="D9"/>
            <w:vAlign w:val="center"/>
          </w:tcPr>
          <w:p w14:paraId="3E2080F7" w14:textId="77777777" w:rsidR="008D6D7B" w:rsidRPr="00900AD6" w:rsidRDefault="008D6D7B" w:rsidP="004925B5">
            <w:pPr>
              <w:jc w:val="center"/>
              <w:rPr>
                <w:rFonts w:cs="Arial"/>
                <w:b/>
                <w:sz w:val="20"/>
                <w:szCs w:val="20"/>
              </w:rPr>
            </w:pPr>
            <w:r w:rsidRPr="00900AD6">
              <w:rPr>
                <w:rFonts w:cs="Arial"/>
                <w:b/>
                <w:sz w:val="20"/>
                <w:szCs w:val="20"/>
              </w:rPr>
              <w:t>5</w:t>
            </w:r>
          </w:p>
        </w:tc>
      </w:tr>
      <w:tr w:rsidR="008D6D7B" w:rsidRPr="00887A08" w14:paraId="32EAB7F8" w14:textId="77777777" w:rsidTr="004925B5">
        <w:trPr>
          <w:trHeight w:val="624"/>
        </w:trPr>
        <w:tc>
          <w:tcPr>
            <w:tcW w:w="4106" w:type="dxa"/>
          </w:tcPr>
          <w:p w14:paraId="283DC548" w14:textId="1C7F9449" w:rsidR="008D6D7B" w:rsidRPr="00887A08" w:rsidRDefault="008D6D7B" w:rsidP="008D6D7B">
            <w:pPr>
              <w:jc w:val="left"/>
              <w:rPr>
                <w:rFonts w:cs="Arial"/>
              </w:rPr>
            </w:pPr>
            <w:r w:rsidRPr="00887A08">
              <w:rPr>
                <w:rFonts w:cs="Arial"/>
              </w:rPr>
              <w:t>Option 1 – LHDG Silver Level (5 Elements).</w:t>
            </w:r>
          </w:p>
        </w:tc>
        <w:tc>
          <w:tcPr>
            <w:tcW w:w="1105" w:type="dxa"/>
            <w:vAlign w:val="center"/>
          </w:tcPr>
          <w:p w14:paraId="64C63299" w14:textId="77777777" w:rsidR="008D6D7B" w:rsidRPr="00887A08" w:rsidRDefault="00FE3C57" w:rsidP="008D6D7B">
            <w:pPr>
              <w:rPr>
                <w:rFonts w:cs="Arial"/>
              </w:rPr>
            </w:pPr>
            <w:sdt>
              <w:sdtPr>
                <w:rPr>
                  <w:rFonts w:cs="Arial"/>
                </w:rPr>
                <w:id w:val="1583109431"/>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228FFE3C" w14:textId="77777777" w:rsidR="008D6D7B" w:rsidRPr="00887A08" w:rsidRDefault="00FE3C57" w:rsidP="008D6D7B">
            <w:pPr>
              <w:rPr>
                <w:rFonts w:cs="Arial"/>
              </w:rPr>
            </w:pPr>
            <w:sdt>
              <w:sdtPr>
                <w:rPr>
                  <w:rFonts w:cs="Arial"/>
                </w:rPr>
                <w:id w:val="203723154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5" w:type="dxa"/>
            <w:vAlign w:val="center"/>
          </w:tcPr>
          <w:p w14:paraId="091917CC" w14:textId="77777777" w:rsidR="008D6D7B" w:rsidRPr="00887A08" w:rsidRDefault="00FE3C57" w:rsidP="008D6D7B">
            <w:pPr>
              <w:rPr>
                <w:rFonts w:cs="Arial"/>
              </w:rPr>
            </w:pPr>
            <w:sdt>
              <w:sdtPr>
                <w:rPr>
                  <w:rFonts w:cs="Arial"/>
                </w:rPr>
                <w:id w:val="123735974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22B291FA" w14:textId="77777777" w:rsidR="008D6D7B" w:rsidRPr="00887A08" w:rsidRDefault="00FE3C57" w:rsidP="008D6D7B">
            <w:pPr>
              <w:rPr>
                <w:rFonts w:cs="Arial"/>
              </w:rPr>
            </w:pPr>
            <w:sdt>
              <w:sdtPr>
                <w:rPr>
                  <w:rFonts w:cs="Arial"/>
                </w:rPr>
                <w:id w:val="-2028632723"/>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3796E562" w14:textId="77777777" w:rsidR="008D6D7B" w:rsidRPr="00887A08" w:rsidRDefault="00FE3C57" w:rsidP="008D6D7B">
            <w:pPr>
              <w:rPr>
                <w:rFonts w:cs="Arial"/>
              </w:rPr>
            </w:pPr>
            <w:sdt>
              <w:sdtPr>
                <w:rPr>
                  <w:rFonts w:cs="Arial"/>
                </w:rPr>
                <w:id w:val="328494293"/>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1B350D37" w14:textId="77777777" w:rsidTr="004925B5">
        <w:trPr>
          <w:trHeight w:val="624"/>
        </w:trPr>
        <w:tc>
          <w:tcPr>
            <w:tcW w:w="4106" w:type="dxa"/>
          </w:tcPr>
          <w:p w14:paraId="71A076FD" w14:textId="74FC8A2E" w:rsidR="008D6D7B" w:rsidRPr="001A3148" w:rsidRDefault="008D6D7B" w:rsidP="008D6D7B">
            <w:pPr>
              <w:jc w:val="left"/>
              <w:rPr>
                <w:rFonts w:cs="Arial"/>
              </w:rPr>
            </w:pPr>
            <w:r w:rsidRPr="00887A08">
              <w:rPr>
                <w:rFonts w:cs="Arial"/>
              </w:rPr>
              <w:t>Option 2 – LHDG Silver Level (7 Elements).</w:t>
            </w:r>
          </w:p>
        </w:tc>
        <w:tc>
          <w:tcPr>
            <w:tcW w:w="1105" w:type="dxa"/>
            <w:vAlign w:val="center"/>
          </w:tcPr>
          <w:p w14:paraId="3401B635" w14:textId="77777777" w:rsidR="008D6D7B" w:rsidRDefault="00FE3C57" w:rsidP="008D6D7B">
            <w:pPr>
              <w:rPr>
                <w:rFonts w:cs="Arial"/>
              </w:rPr>
            </w:pPr>
            <w:sdt>
              <w:sdtPr>
                <w:rPr>
                  <w:rFonts w:cs="Arial"/>
                </w:rPr>
                <w:id w:val="185113808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40B7D11E" w14:textId="77777777" w:rsidR="008D6D7B" w:rsidRDefault="00FE3C57" w:rsidP="008D6D7B">
            <w:pPr>
              <w:rPr>
                <w:rFonts w:cs="Arial"/>
              </w:rPr>
            </w:pPr>
            <w:sdt>
              <w:sdtPr>
                <w:rPr>
                  <w:rFonts w:cs="Arial"/>
                </w:rPr>
                <w:id w:val="-1660993326"/>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5" w:type="dxa"/>
            <w:vAlign w:val="center"/>
          </w:tcPr>
          <w:p w14:paraId="66DE38C6" w14:textId="77777777" w:rsidR="008D6D7B" w:rsidRDefault="00FE3C57" w:rsidP="008D6D7B">
            <w:pPr>
              <w:rPr>
                <w:rFonts w:cs="Arial"/>
              </w:rPr>
            </w:pPr>
            <w:sdt>
              <w:sdtPr>
                <w:rPr>
                  <w:rFonts w:cs="Arial"/>
                </w:rPr>
                <w:id w:val="363337760"/>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7634EBB4" w14:textId="77777777" w:rsidR="008D6D7B" w:rsidRDefault="00FE3C57" w:rsidP="008D6D7B">
            <w:pPr>
              <w:rPr>
                <w:rFonts w:cs="Arial"/>
              </w:rPr>
            </w:pPr>
            <w:sdt>
              <w:sdtPr>
                <w:rPr>
                  <w:rFonts w:cs="Arial"/>
                </w:rPr>
                <w:id w:val="-93999531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6743482E" w14:textId="77777777" w:rsidR="008D6D7B" w:rsidRDefault="00FE3C57" w:rsidP="008D6D7B">
            <w:pPr>
              <w:rPr>
                <w:rFonts w:cs="Arial"/>
              </w:rPr>
            </w:pPr>
            <w:sdt>
              <w:sdtPr>
                <w:rPr>
                  <w:rFonts w:cs="Arial"/>
                </w:rPr>
                <w:id w:val="2065445882"/>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r w:rsidR="008D6D7B" w14:paraId="4FD1A5CA" w14:textId="77777777" w:rsidTr="004925B5">
        <w:trPr>
          <w:trHeight w:val="624"/>
        </w:trPr>
        <w:tc>
          <w:tcPr>
            <w:tcW w:w="4106" w:type="dxa"/>
          </w:tcPr>
          <w:p w14:paraId="5278E694" w14:textId="266F1C23" w:rsidR="008D6D7B" w:rsidRPr="008D6D7B" w:rsidRDefault="008D6D7B" w:rsidP="008D6D7B">
            <w:pPr>
              <w:jc w:val="left"/>
              <w:rPr>
                <w:rFonts w:cs="Arial"/>
              </w:rPr>
            </w:pPr>
            <w:r w:rsidRPr="00887A08">
              <w:rPr>
                <w:rFonts w:cs="Arial"/>
              </w:rPr>
              <w:t>Option 3 – LHDG Gold Level</w:t>
            </w:r>
            <w:r>
              <w:rPr>
                <w:rFonts w:cs="Arial"/>
              </w:rPr>
              <w:t xml:space="preserve"> (12 Elements)</w:t>
            </w:r>
            <w:r w:rsidRPr="00887A08">
              <w:rPr>
                <w:rFonts w:cs="Arial"/>
              </w:rPr>
              <w:t>.</w:t>
            </w:r>
          </w:p>
        </w:tc>
        <w:tc>
          <w:tcPr>
            <w:tcW w:w="1105" w:type="dxa"/>
            <w:vAlign w:val="center"/>
          </w:tcPr>
          <w:p w14:paraId="033299BB" w14:textId="454206B0" w:rsidR="008D6D7B" w:rsidRDefault="00FE3C57" w:rsidP="008D6D7B">
            <w:pPr>
              <w:rPr>
                <w:rFonts w:cs="Arial"/>
              </w:rPr>
            </w:pPr>
            <w:sdt>
              <w:sdtPr>
                <w:rPr>
                  <w:rFonts w:cs="Arial"/>
                </w:rPr>
                <w:id w:val="-12779538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474045DE" w14:textId="11076EE6" w:rsidR="008D6D7B" w:rsidRDefault="00FE3C57" w:rsidP="008D6D7B">
            <w:pPr>
              <w:rPr>
                <w:rFonts w:cs="Arial"/>
              </w:rPr>
            </w:pPr>
            <w:sdt>
              <w:sdtPr>
                <w:rPr>
                  <w:rFonts w:cs="Arial"/>
                </w:rPr>
                <w:id w:val="16621869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5" w:type="dxa"/>
            <w:vAlign w:val="center"/>
          </w:tcPr>
          <w:p w14:paraId="07C53291" w14:textId="653622AD" w:rsidR="008D6D7B" w:rsidRDefault="00FE3C57" w:rsidP="008D6D7B">
            <w:pPr>
              <w:rPr>
                <w:rFonts w:cs="Arial"/>
              </w:rPr>
            </w:pPr>
            <w:sdt>
              <w:sdtPr>
                <w:rPr>
                  <w:rFonts w:cs="Arial"/>
                </w:rPr>
                <w:id w:val="308837525"/>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333191C9" w14:textId="68DD3EBB" w:rsidR="008D6D7B" w:rsidRDefault="00FE3C57" w:rsidP="008D6D7B">
            <w:pPr>
              <w:rPr>
                <w:rFonts w:cs="Arial"/>
              </w:rPr>
            </w:pPr>
            <w:sdt>
              <w:sdtPr>
                <w:rPr>
                  <w:rFonts w:cs="Arial"/>
                </w:rPr>
                <w:id w:val="-1432123709"/>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c>
          <w:tcPr>
            <w:tcW w:w="1106" w:type="dxa"/>
            <w:vAlign w:val="center"/>
          </w:tcPr>
          <w:p w14:paraId="0FB28CD6" w14:textId="0ABC7DC1" w:rsidR="008D6D7B" w:rsidRDefault="00FE3C57" w:rsidP="008D6D7B">
            <w:pPr>
              <w:rPr>
                <w:rFonts w:cs="Arial"/>
              </w:rPr>
            </w:pPr>
            <w:sdt>
              <w:sdtPr>
                <w:rPr>
                  <w:rFonts w:cs="Arial"/>
                </w:rPr>
                <w:id w:val="1368173774"/>
                <w14:checkbox>
                  <w14:checked w14:val="0"/>
                  <w14:checkedState w14:val="2612" w14:font="MS Gothic"/>
                  <w14:uncheckedState w14:val="2610" w14:font="MS Gothic"/>
                </w14:checkbox>
              </w:sdtPr>
              <w:sdtEndPr/>
              <w:sdtContent>
                <w:r w:rsidR="008D6D7B">
                  <w:rPr>
                    <w:rFonts w:ascii="MS Gothic" w:eastAsia="MS Gothic" w:hAnsi="MS Gothic" w:cs="Arial" w:hint="eastAsia"/>
                  </w:rPr>
                  <w:t>☐</w:t>
                </w:r>
              </w:sdtContent>
            </w:sdt>
          </w:p>
        </w:tc>
      </w:tr>
    </w:tbl>
    <w:p w14:paraId="624110A5" w14:textId="77777777" w:rsidR="008D6D7B" w:rsidRPr="00887A08" w:rsidRDefault="008D6D7B" w:rsidP="00302840">
      <w:pPr>
        <w:spacing w:before="240" w:after="120"/>
        <w:rPr>
          <w:rFonts w:cs="Arial"/>
        </w:rPr>
      </w:pPr>
    </w:p>
    <w:p w14:paraId="4DEE28A9" w14:textId="7DB73EFB" w:rsidR="004D4EDD" w:rsidRDefault="008D6D7B" w:rsidP="0064120C">
      <w:pPr>
        <w:jc w:val="center"/>
      </w:pPr>
      <w:r>
        <w:t xml:space="preserve">End of consultation questions. </w:t>
      </w:r>
    </w:p>
    <w:sectPr w:rsidR="004D4EDD" w:rsidSect="00482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97F5" w14:textId="77777777" w:rsidR="00FE3C57" w:rsidRDefault="00FE3C57" w:rsidP="00AE1F7F">
      <w:pPr>
        <w:spacing w:after="0" w:line="240" w:lineRule="auto"/>
      </w:pPr>
      <w:r>
        <w:separator/>
      </w:r>
    </w:p>
  </w:endnote>
  <w:endnote w:type="continuationSeparator" w:id="0">
    <w:p w14:paraId="732FFD8D" w14:textId="77777777" w:rsidR="00FE3C57" w:rsidRDefault="00FE3C57" w:rsidP="00AE1F7F">
      <w:pPr>
        <w:spacing w:after="0" w:line="240" w:lineRule="auto"/>
      </w:pPr>
      <w:r>
        <w:continuationSeparator/>
      </w:r>
    </w:p>
  </w:endnote>
  <w:endnote w:type="continuationNotice" w:id="1">
    <w:p w14:paraId="254DB279" w14:textId="77777777" w:rsidR="00FE3C57" w:rsidRDefault="00FE3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1930"/>
      <w:docPartObj>
        <w:docPartGallery w:val="Page Numbers (Bottom of Page)"/>
        <w:docPartUnique/>
      </w:docPartObj>
    </w:sdtPr>
    <w:sdtEndPr/>
    <w:sdtContent>
      <w:sdt>
        <w:sdtPr>
          <w:id w:val="460784362"/>
          <w:docPartObj>
            <w:docPartGallery w:val="Page Numbers (Top of Page)"/>
            <w:docPartUnique/>
          </w:docPartObj>
        </w:sdtPr>
        <w:sdtEndPr/>
        <w:sdtContent>
          <w:p w14:paraId="3CB2B614" w14:textId="091DABC1" w:rsidR="00B25D7A" w:rsidRDefault="00B25D7A">
            <w:pPr>
              <w:pStyle w:val="Footer"/>
              <w:jc w:val="center"/>
            </w:pP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sidR="00AA700F">
              <w:rPr>
                <w:b/>
                <w:bCs/>
                <w:noProof/>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700F">
              <w:rPr>
                <w:b/>
                <w:bCs/>
                <w:noProof/>
              </w:rPr>
              <w:t>3</w:t>
            </w:r>
            <w:r>
              <w:rPr>
                <w:b/>
                <w:bCs/>
                <w:sz w:val="24"/>
                <w:szCs w:val="24"/>
              </w:rPr>
              <w:fldChar w:fldCharType="end"/>
            </w:r>
          </w:p>
        </w:sdtContent>
      </w:sdt>
    </w:sdtContent>
  </w:sdt>
  <w:p w14:paraId="3CB2B615" w14:textId="77777777" w:rsidR="00B25D7A" w:rsidRDefault="00B2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E97E5" w14:textId="77777777" w:rsidR="00FE3C57" w:rsidRDefault="00FE3C57" w:rsidP="00AE1F7F">
      <w:pPr>
        <w:spacing w:after="0" w:line="240" w:lineRule="auto"/>
      </w:pPr>
    </w:p>
  </w:footnote>
  <w:footnote w:type="continuationSeparator" w:id="0">
    <w:p w14:paraId="19A17C0A" w14:textId="77777777" w:rsidR="00FE3C57" w:rsidRDefault="00FE3C57" w:rsidP="00AE1F7F">
      <w:pPr>
        <w:spacing w:after="0" w:line="240" w:lineRule="auto"/>
      </w:pPr>
    </w:p>
  </w:footnote>
  <w:footnote w:type="continuationNotice" w:id="1">
    <w:p w14:paraId="672D6653" w14:textId="77777777" w:rsidR="00FE3C57" w:rsidRDefault="00FE3C57">
      <w:pPr>
        <w:spacing w:after="0" w:line="240" w:lineRule="auto"/>
      </w:pPr>
    </w:p>
  </w:footnote>
  <w:footnote w:id="2">
    <w:p w14:paraId="5BE0635A" w14:textId="77777777" w:rsidR="00B25D7A" w:rsidRDefault="00B25D7A" w:rsidP="00F34C55">
      <w:pPr>
        <w:pStyle w:val="FootnoteText"/>
        <w:spacing w:after="120"/>
        <w:jc w:val="left"/>
      </w:pPr>
      <w:r>
        <w:rPr>
          <w:rStyle w:val="FootnoteReference"/>
        </w:rPr>
        <w:footnoteRef/>
      </w:r>
      <w:r>
        <w:t xml:space="preserve"> </w:t>
      </w:r>
      <w:r>
        <w:rPr>
          <w:i/>
        </w:rPr>
        <w:t>An Agreement between the Governments of the Commonwealth of Australia, the States and the Territories to continue in existence and provide for the operation of the Australian Building Codes Board (ABCB IGA)</w:t>
      </w:r>
      <w:r>
        <w:t xml:space="preserve">, 2017. </w:t>
      </w:r>
    </w:p>
  </w:footnote>
  <w:footnote w:id="3">
    <w:p w14:paraId="4A506091" w14:textId="77777777" w:rsidR="00B25D7A" w:rsidRPr="00A9316D" w:rsidRDefault="00B25D7A" w:rsidP="00F34C55">
      <w:pPr>
        <w:pStyle w:val="FootnoteText"/>
        <w:spacing w:after="120"/>
        <w:jc w:val="left"/>
      </w:pPr>
      <w:r>
        <w:rPr>
          <w:rStyle w:val="FootnoteReference"/>
        </w:rPr>
        <w:footnoteRef/>
      </w:r>
      <w:r>
        <w:t xml:space="preserve"> Council of Australian Governments (COAG), </w:t>
      </w:r>
      <w:r>
        <w:rPr>
          <w:i/>
        </w:rPr>
        <w:t>Best Practice Regulation: A Guide for Ministerial Councils and National Standard Setting B</w:t>
      </w:r>
      <w:r w:rsidRPr="00A9316D">
        <w:rPr>
          <w:i/>
        </w:rPr>
        <w:t>odies</w:t>
      </w:r>
      <w:r>
        <w:rPr>
          <w:i/>
        </w:rPr>
        <w:t xml:space="preserve">, </w:t>
      </w:r>
      <w:r>
        <w:t xml:space="preserve">October 2007. </w:t>
      </w:r>
    </w:p>
  </w:footnote>
  <w:footnote w:id="4">
    <w:p w14:paraId="0BBD3ECD" w14:textId="77777777" w:rsidR="00B25D7A" w:rsidRDefault="00B25D7A" w:rsidP="00C72832">
      <w:pPr>
        <w:pStyle w:val="FootnoteText"/>
        <w:spacing w:after="120"/>
        <w:jc w:val="left"/>
      </w:pPr>
      <w:r>
        <w:rPr>
          <w:rStyle w:val="FootnoteReference"/>
        </w:rPr>
        <w:footnoteRef/>
      </w:r>
      <w:r>
        <w:t xml:space="preserve"> Building Ministers Forum (BMF), </w:t>
      </w:r>
      <w:r>
        <w:rPr>
          <w:i/>
        </w:rPr>
        <w:t xml:space="preserve">Communique, </w:t>
      </w:r>
      <w:r>
        <w:t>21 April 2017.</w:t>
      </w:r>
    </w:p>
  </w:footnote>
  <w:footnote w:id="5">
    <w:p w14:paraId="70B6EEB4" w14:textId="0172A825" w:rsidR="00B25D7A" w:rsidRDefault="00B25D7A" w:rsidP="00E80CB3">
      <w:pPr>
        <w:pStyle w:val="FootnoteText"/>
        <w:spacing w:after="120"/>
        <w:jc w:val="left"/>
      </w:pPr>
      <w:r>
        <w:rPr>
          <w:rStyle w:val="FootnoteReference"/>
        </w:rPr>
        <w:footnoteRef/>
      </w:r>
      <w:r>
        <w:t xml:space="preserve"> Building Ministers Forum (BMF), </w:t>
      </w:r>
      <w:r>
        <w:rPr>
          <w:i/>
        </w:rPr>
        <w:t xml:space="preserve">Communique, </w:t>
      </w:r>
      <w:r>
        <w:t>6 October 2017.</w:t>
      </w:r>
    </w:p>
  </w:footnote>
  <w:footnote w:id="6">
    <w:p w14:paraId="761EFDEF" w14:textId="77777777" w:rsidR="00B25D7A" w:rsidRDefault="00B25D7A" w:rsidP="00C72832">
      <w:pPr>
        <w:pStyle w:val="FootnoteText"/>
        <w:spacing w:after="120"/>
        <w:jc w:val="left"/>
      </w:pPr>
      <w:r>
        <w:rPr>
          <w:rStyle w:val="FootnoteReference"/>
        </w:rPr>
        <w:footnoteRef/>
      </w:r>
      <w:r>
        <w:t xml:space="preserve"> </w:t>
      </w:r>
      <w:r w:rsidRPr="006625F2">
        <w:t xml:space="preserve">Department of Social Services (Commonwealth), </w:t>
      </w:r>
      <w:r>
        <w:rPr>
          <w:i/>
        </w:rPr>
        <w:t>Disability Reform Council.</w:t>
      </w:r>
      <w:r w:rsidRPr="006625F2">
        <w:rPr>
          <w:i/>
        </w:rPr>
        <w:t xml:space="preserve"> </w:t>
      </w:r>
      <w:r>
        <w:t>O</w:t>
      </w:r>
      <w:r w:rsidRPr="006625F2">
        <w:t xml:space="preserve">nline: </w:t>
      </w:r>
      <w:hyperlink r:id="rId1" w:history="1">
        <w:r w:rsidRPr="006625F2">
          <w:rPr>
            <w:rStyle w:val="Hyperlink"/>
          </w:rPr>
          <w:t>https://www.dss.gov.au/our-responsibilities/disability-and-carers/programmes-services/government-international/disability-reform-council</w:t>
        </w:r>
      </w:hyperlink>
      <w:r w:rsidRPr="006625F2">
        <w:t>. Accessed January 2018.</w:t>
      </w:r>
    </w:p>
  </w:footnote>
  <w:footnote w:id="7">
    <w:p w14:paraId="1E00B442" w14:textId="77777777" w:rsidR="00B25D7A" w:rsidRPr="0089799B" w:rsidRDefault="00B25D7A" w:rsidP="00C72832">
      <w:pPr>
        <w:pStyle w:val="FootnoteText"/>
        <w:spacing w:after="120"/>
        <w:jc w:val="left"/>
      </w:pPr>
      <w:r>
        <w:rPr>
          <w:rStyle w:val="FootnoteReference"/>
        </w:rPr>
        <w:footnoteRef/>
      </w:r>
      <w:r>
        <w:t xml:space="preserve"> Council of Australian Governments (COAG), </w:t>
      </w:r>
      <w:r>
        <w:rPr>
          <w:i/>
        </w:rPr>
        <w:t>National Disability Strategy 2010-2020</w:t>
      </w:r>
      <w:r>
        <w:t>, February 2011, p 8.</w:t>
      </w:r>
    </w:p>
  </w:footnote>
  <w:footnote w:id="8">
    <w:p w14:paraId="08053B48" w14:textId="2F3A4C7B" w:rsidR="00B25D7A" w:rsidRPr="00BA652B" w:rsidRDefault="00B25D7A" w:rsidP="00DC62B1">
      <w:pPr>
        <w:pStyle w:val="FootnoteText"/>
        <w:spacing w:after="120"/>
        <w:jc w:val="left"/>
      </w:pPr>
      <w:r>
        <w:rPr>
          <w:rStyle w:val="FootnoteReference"/>
        </w:rPr>
        <w:footnoteRef/>
      </w:r>
      <w:r>
        <w:t xml:space="preserve"> Department of Planning and the Environment (NSW), </w:t>
      </w:r>
      <w:r>
        <w:rPr>
          <w:i/>
        </w:rPr>
        <w:t xml:space="preserve">Apartment Design Guide, </w:t>
      </w:r>
      <w:r>
        <w:t>July 2015.</w:t>
      </w:r>
    </w:p>
  </w:footnote>
  <w:footnote w:id="9">
    <w:p w14:paraId="6640694B" w14:textId="03894831" w:rsidR="00B25D7A" w:rsidRPr="00DC62B1" w:rsidRDefault="00B25D7A" w:rsidP="00DC62B1">
      <w:pPr>
        <w:pStyle w:val="FootnoteText"/>
        <w:spacing w:after="120"/>
        <w:jc w:val="left"/>
      </w:pPr>
      <w:r>
        <w:rPr>
          <w:rStyle w:val="FootnoteReference"/>
        </w:rPr>
        <w:footnoteRef/>
      </w:r>
      <w:r>
        <w:t xml:space="preserve"> Department of Environment, Land, Water and Planning (Vic), </w:t>
      </w:r>
      <w:r>
        <w:rPr>
          <w:i/>
        </w:rPr>
        <w:t xml:space="preserve">Apartment Design Guidelines for Victoria, </w:t>
      </w:r>
      <w:r>
        <w:t>2017.</w:t>
      </w:r>
    </w:p>
  </w:footnote>
  <w:footnote w:id="10">
    <w:p w14:paraId="79647017" w14:textId="26BBCAA5" w:rsidR="00B25D7A" w:rsidRPr="001900A7" w:rsidRDefault="00B25D7A" w:rsidP="001900A7">
      <w:pPr>
        <w:pStyle w:val="FootnoteText"/>
        <w:spacing w:after="120"/>
        <w:jc w:val="left"/>
        <w:rPr>
          <w:i/>
        </w:rPr>
      </w:pPr>
      <w:r>
        <w:rPr>
          <w:rStyle w:val="FootnoteReference"/>
        </w:rPr>
        <w:footnoteRef/>
      </w:r>
      <w:r>
        <w:t xml:space="preserve"> AS 4299 means </w:t>
      </w:r>
      <w:r>
        <w:rPr>
          <w:i/>
        </w:rPr>
        <w:t xml:space="preserve">Australian Standard 4299 Adaptable Housing, </w:t>
      </w:r>
      <w:r>
        <w:t>1995</w:t>
      </w:r>
      <w:r>
        <w:rPr>
          <w:i/>
        </w:rPr>
        <w:t xml:space="preserve">. </w:t>
      </w:r>
    </w:p>
  </w:footnote>
  <w:footnote w:id="11">
    <w:p w14:paraId="6166E448" w14:textId="77777777" w:rsidR="00B25D7A" w:rsidRPr="00BF07C2" w:rsidRDefault="00B25D7A" w:rsidP="001900A7">
      <w:pPr>
        <w:pStyle w:val="FootnoteText"/>
        <w:spacing w:after="120"/>
        <w:jc w:val="left"/>
      </w:pPr>
      <w:r>
        <w:rPr>
          <w:rStyle w:val="FootnoteReference"/>
        </w:rPr>
        <w:footnoteRef/>
      </w:r>
      <w:r>
        <w:t xml:space="preserve"> AS 1428.1 means </w:t>
      </w:r>
      <w:r>
        <w:rPr>
          <w:i/>
        </w:rPr>
        <w:t xml:space="preserve">Australian Standard 1428 Design for Access and Mobility Part 1: General Requirements for Access—New Building Work, </w:t>
      </w:r>
      <w:r>
        <w:t>2009.</w:t>
      </w:r>
    </w:p>
  </w:footnote>
  <w:footnote w:id="12">
    <w:p w14:paraId="6CAA432C" w14:textId="6BC47695" w:rsidR="00B25D7A" w:rsidRDefault="00B25D7A" w:rsidP="00AB554C">
      <w:pPr>
        <w:pStyle w:val="FootnoteText"/>
        <w:spacing w:after="120"/>
        <w:jc w:val="left"/>
      </w:pPr>
      <w:r>
        <w:rPr>
          <w:rStyle w:val="FootnoteReference"/>
        </w:rPr>
        <w:footnoteRef/>
      </w:r>
      <w:r>
        <w:t xml:space="preserve"> This</w:t>
      </w:r>
      <w:r w:rsidRPr="00954C84">
        <w:t xml:space="preserve"> information on State/Territory requirements is taken from advice provided by the State and Territory Building Ministers to the Australian Network for Universal Housing Design (ANUHD) in 2017. Copies of this correspondence </w:t>
      </w:r>
      <w:r>
        <w:t xml:space="preserve">are </w:t>
      </w:r>
      <w:r w:rsidRPr="00954C84">
        <w:t xml:space="preserve">available on the ANUHD's website, </w:t>
      </w:r>
      <w:r>
        <w:t xml:space="preserve">see: </w:t>
      </w:r>
      <w:hyperlink r:id="rId2" w:history="1">
        <w:r w:rsidRPr="00EF775B">
          <w:rPr>
            <w:rStyle w:val="Hyperlink"/>
          </w:rPr>
          <w:t>https://anuhd.org/2017/09/12/achievements-by-states-and-territories/</w:t>
        </w:r>
      </w:hyperlink>
      <w:r>
        <w:t>. States/Territories have since provided updates to this information, which have been incorporated where appropriate.</w:t>
      </w:r>
    </w:p>
  </w:footnote>
  <w:footnote w:id="13">
    <w:p w14:paraId="5ADFCDB1" w14:textId="77777777" w:rsidR="00B25D7A" w:rsidRPr="006F6247" w:rsidRDefault="00B25D7A" w:rsidP="00AB554C">
      <w:pPr>
        <w:pStyle w:val="FootnoteText"/>
        <w:spacing w:after="120"/>
        <w:jc w:val="left"/>
      </w:pPr>
      <w:r>
        <w:rPr>
          <w:rStyle w:val="FootnoteReference"/>
        </w:rPr>
        <w:footnoteRef/>
      </w:r>
      <w:r>
        <w:t xml:space="preserve"> National Disability Insurance Scheme (NDIS), </w:t>
      </w:r>
      <w:r>
        <w:rPr>
          <w:i/>
        </w:rPr>
        <w:t xml:space="preserve">Mainstream Interface – Housing, </w:t>
      </w:r>
      <w:r>
        <w:t>factsheet, N.D.</w:t>
      </w:r>
    </w:p>
  </w:footnote>
  <w:footnote w:id="14">
    <w:p w14:paraId="56E2EFEB" w14:textId="77777777" w:rsidR="00B25D7A" w:rsidRPr="001B7407" w:rsidRDefault="00B25D7A" w:rsidP="00AB554C">
      <w:pPr>
        <w:pStyle w:val="FootnoteText"/>
        <w:spacing w:after="120"/>
        <w:jc w:val="left"/>
      </w:pPr>
      <w:r>
        <w:rPr>
          <w:rStyle w:val="FootnoteReference"/>
        </w:rPr>
        <w:footnoteRef/>
      </w:r>
      <w:r>
        <w:t xml:space="preserve"> COAG Disability Reform Council, </w:t>
      </w:r>
      <w:r>
        <w:rPr>
          <w:i/>
        </w:rPr>
        <w:t>Communique</w:t>
      </w:r>
      <w:r>
        <w:t xml:space="preserve">, </w:t>
      </w:r>
      <w:r w:rsidRPr="009D7B21">
        <w:t>20 November 2017</w:t>
      </w:r>
      <w:r>
        <w:rPr>
          <w:i/>
        </w:rPr>
        <w:t xml:space="preserve">. </w:t>
      </w:r>
    </w:p>
  </w:footnote>
  <w:footnote w:id="15">
    <w:p w14:paraId="2EA500CB" w14:textId="303D92C8" w:rsidR="00B25D7A" w:rsidRDefault="00B25D7A" w:rsidP="003A2081">
      <w:pPr>
        <w:pStyle w:val="FootnoteText"/>
        <w:spacing w:after="120"/>
        <w:jc w:val="left"/>
      </w:pPr>
      <w:r>
        <w:rPr>
          <w:rStyle w:val="FootnoteReference"/>
        </w:rPr>
        <w:footnoteRef/>
      </w:r>
      <w:r>
        <w:t xml:space="preserve"> Council of Australian Governments (COAG), </w:t>
      </w:r>
      <w:r>
        <w:rPr>
          <w:i/>
        </w:rPr>
        <w:t>National Disability Strategy 2010-2020</w:t>
      </w:r>
      <w:r>
        <w:t>, February 2011. p 34. Note: the Australian Standard referred to in the quote is AS 4299.</w:t>
      </w:r>
    </w:p>
  </w:footnote>
  <w:footnote w:id="16">
    <w:p w14:paraId="53C46E7B" w14:textId="591D3A66" w:rsidR="00B25D7A" w:rsidRDefault="00B25D7A" w:rsidP="00CA4E29">
      <w:pPr>
        <w:pStyle w:val="FootnoteText"/>
        <w:spacing w:after="120"/>
        <w:jc w:val="left"/>
      </w:pPr>
      <w:r>
        <w:rPr>
          <w:rStyle w:val="FootnoteReference"/>
        </w:rPr>
        <w:footnoteRef/>
      </w:r>
      <w:r>
        <w:t xml:space="preserve"> </w:t>
      </w:r>
      <w:r w:rsidRPr="00507443">
        <w:rPr>
          <w:i/>
        </w:rPr>
        <w:t>Ibid.</w:t>
      </w:r>
    </w:p>
  </w:footnote>
  <w:footnote w:id="17">
    <w:p w14:paraId="43547F63" w14:textId="498BF728" w:rsidR="00B25D7A" w:rsidRPr="00507443" w:rsidRDefault="00B25D7A" w:rsidP="00685FBD">
      <w:pPr>
        <w:pStyle w:val="FootnoteText"/>
        <w:spacing w:after="120"/>
        <w:jc w:val="left"/>
      </w:pPr>
      <w:r>
        <w:rPr>
          <w:rStyle w:val="FootnoteReference"/>
        </w:rPr>
        <w:footnoteRef/>
      </w:r>
      <w:r>
        <w:t xml:space="preserve"> Australian Senate Community Affairs References Committee, </w:t>
      </w:r>
      <w:r>
        <w:rPr>
          <w:i/>
        </w:rPr>
        <w:t xml:space="preserve">Delivery of outcomes under the National Disability Strategy 2010-2020 to build inclusive and accessible communities, </w:t>
      </w:r>
      <w:r>
        <w:t>Inquiry Report, November 2017, [3.26, 3.27] pp 33-34.</w:t>
      </w:r>
    </w:p>
  </w:footnote>
  <w:footnote w:id="18">
    <w:p w14:paraId="1ACB70B2" w14:textId="77777777" w:rsidR="00B25D7A" w:rsidRPr="006374DD" w:rsidRDefault="00B25D7A" w:rsidP="00CA4E29">
      <w:pPr>
        <w:pStyle w:val="FootnoteText"/>
        <w:spacing w:after="120"/>
      </w:pPr>
      <w:r>
        <w:rPr>
          <w:rStyle w:val="FootnoteReference"/>
        </w:rPr>
        <w:footnoteRef/>
      </w:r>
      <w:r>
        <w:t xml:space="preserve"> Livable Housing Australia, </w:t>
      </w:r>
      <w:r>
        <w:rPr>
          <w:i/>
        </w:rPr>
        <w:t xml:space="preserve">Livable Housing Design Guidelines, </w:t>
      </w:r>
      <w:r>
        <w:t>4th edition, 2017, p 2.</w:t>
      </w:r>
    </w:p>
  </w:footnote>
  <w:footnote w:id="19">
    <w:p w14:paraId="09AF1277" w14:textId="77777777" w:rsidR="00B25D7A" w:rsidRDefault="00B25D7A" w:rsidP="00CA4E29">
      <w:pPr>
        <w:pStyle w:val="FootnoteText"/>
        <w:spacing w:after="120"/>
        <w:jc w:val="left"/>
      </w:pPr>
      <w:r>
        <w:rPr>
          <w:rStyle w:val="FootnoteReference"/>
        </w:rPr>
        <w:footnoteRef/>
      </w:r>
      <w:r>
        <w:t xml:space="preserve"> </w:t>
      </w:r>
      <w:r w:rsidRPr="0041101A">
        <w:rPr>
          <w:i/>
        </w:rPr>
        <w:t xml:space="preserve">Ibid. </w:t>
      </w:r>
      <w:r>
        <w:t>p 8.</w:t>
      </w:r>
    </w:p>
  </w:footnote>
  <w:footnote w:id="20">
    <w:p w14:paraId="0B61D698" w14:textId="2A456682" w:rsidR="00B25D7A" w:rsidRPr="00AD2116" w:rsidRDefault="00B25D7A" w:rsidP="006774AC">
      <w:pPr>
        <w:pStyle w:val="FootnoteText"/>
        <w:spacing w:after="120"/>
        <w:jc w:val="left"/>
      </w:pPr>
      <w:r>
        <w:rPr>
          <w:rStyle w:val="FootnoteReference"/>
        </w:rPr>
        <w:footnoteRef/>
      </w:r>
      <w:r>
        <w:t xml:space="preserve"> This requirement is Element 7 – Internal Stairways, which adopts the NCC for Silver Level, and adds provisions for minimum width, slip resistance and position against loadbearing walls at the Gold and Platinum Levels. See: </w:t>
      </w:r>
      <w:r>
        <w:rPr>
          <w:i/>
        </w:rPr>
        <w:t xml:space="preserve">Livable Housing Design Guidelines, </w:t>
      </w:r>
      <w:r>
        <w:t>above n 17, pp 42-43.</w:t>
      </w:r>
    </w:p>
  </w:footnote>
  <w:footnote w:id="21">
    <w:p w14:paraId="18C2955F" w14:textId="28755574" w:rsidR="00B25D7A" w:rsidRDefault="00B25D7A" w:rsidP="006774AC">
      <w:pPr>
        <w:pStyle w:val="FootnoteText"/>
        <w:spacing w:after="120"/>
        <w:jc w:val="left"/>
      </w:pPr>
      <w:r>
        <w:rPr>
          <w:rStyle w:val="FootnoteReference"/>
        </w:rPr>
        <w:footnoteRef/>
      </w:r>
      <w:r>
        <w:t xml:space="preserve"> See: </w:t>
      </w:r>
      <w:hyperlink r:id="rId3" w:tooltip="Accessibility in housing ABCB proposal with insets" w:history="1">
        <w:r w:rsidRPr="006B79F6">
          <w:rPr>
            <w:rStyle w:val="Hyperlink"/>
          </w:rPr>
          <w:t>https://aduhdblog.files.wordpress.com/2016/05/accessibility-in-housing-abcb-proposal-with-insets.pdf</w:t>
        </w:r>
      </w:hyperlink>
      <w:r>
        <w:t xml:space="preserve"> (accessed May 2018).</w:t>
      </w:r>
    </w:p>
  </w:footnote>
  <w:footnote w:id="22">
    <w:p w14:paraId="7BE9169B" w14:textId="77777777" w:rsidR="00B25D7A" w:rsidRPr="00384F91" w:rsidRDefault="00B25D7A" w:rsidP="006774AC">
      <w:pPr>
        <w:pStyle w:val="FootnoteText"/>
        <w:spacing w:after="120"/>
        <w:jc w:val="left"/>
      </w:pPr>
      <w:r>
        <w:rPr>
          <w:rStyle w:val="FootnoteReference"/>
        </w:rPr>
        <w:footnoteRef/>
      </w:r>
      <w:r>
        <w:t xml:space="preserve"> Australian Network for Universal Housing Design (ANUHD) and Rights &amp; Inclusion Australia (R&amp;IA), </w:t>
      </w:r>
      <w:r>
        <w:rPr>
          <w:i/>
        </w:rPr>
        <w:t xml:space="preserve">Proposal For Change – National Construction Code Series – Accessibility in Housing, </w:t>
      </w:r>
      <w:r>
        <w:t>2016, p 11.</w:t>
      </w:r>
    </w:p>
  </w:footnote>
  <w:footnote w:id="23">
    <w:p w14:paraId="1B8FC609" w14:textId="77777777" w:rsidR="00B25D7A" w:rsidRPr="007932F1" w:rsidRDefault="00B25D7A" w:rsidP="006774AC">
      <w:pPr>
        <w:pStyle w:val="FootnoteText"/>
        <w:spacing w:after="120"/>
        <w:jc w:val="left"/>
      </w:pPr>
      <w:r>
        <w:rPr>
          <w:rStyle w:val="FootnoteReference"/>
        </w:rPr>
        <w:footnoteRef/>
      </w:r>
      <w:r>
        <w:t xml:space="preserve"> Australian Human Rights Commission, </w:t>
      </w:r>
      <w:r>
        <w:rPr>
          <w:i/>
        </w:rPr>
        <w:t xml:space="preserve">Guideline on the Application of the Premises Standards, </w:t>
      </w:r>
      <w:r>
        <w:t>version 2, 2013, [A.2] p 6.</w:t>
      </w:r>
    </w:p>
  </w:footnote>
  <w:footnote w:id="24">
    <w:p w14:paraId="75ACFCB1" w14:textId="77777777" w:rsidR="00B25D7A" w:rsidRPr="00E53496" w:rsidRDefault="00B25D7A" w:rsidP="006774AC">
      <w:pPr>
        <w:pStyle w:val="FootnoteText"/>
        <w:spacing w:after="120"/>
        <w:jc w:val="left"/>
      </w:pPr>
      <w:r>
        <w:rPr>
          <w:rStyle w:val="FootnoteReference"/>
        </w:rPr>
        <w:footnoteRef/>
      </w:r>
      <w:r>
        <w:t xml:space="preserve"> ABCB, </w:t>
      </w:r>
      <w:r>
        <w:rPr>
          <w:i/>
        </w:rPr>
        <w:t xml:space="preserve">Guide to the NCC 2016 Volume One, </w:t>
      </w:r>
      <w:r>
        <w:t>Section D – Access and Egress, 2016.</w:t>
      </w:r>
    </w:p>
  </w:footnote>
  <w:footnote w:id="25">
    <w:p w14:paraId="5E1673B2" w14:textId="6881FAD0" w:rsidR="00B25D7A" w:rsidRDefault="00B25D7A" w:rsidP="006E5F7C">
      <w:pPr>
        <w:pStyle w:val="FootnoteText"/>
        <w:spacing w:after="120"/>
        <w:jc w:val="left"/>
      </w:pPr>
      <w:r>
        <w:rPr>
          <w:rStyle w:val="FootnoteReference"/>
        </w:rPr>
        <w:footnoteRef/>
      </w:r>
      <w:r>
        <w:t xml:space="preserve"> Regulatory Impact Solutions, </w:t>
      </w:r>
      <w:r>
        <w:rPr>
          <w:i/>
        </w:rPr>
        <w:t xml:space="preserve">Visitable and Adaptable Features in Housing – Regulatory Impact Statement, </w:t>
      </w:r>
      <w:r>
        <w:t>prepared for the Victorian Department of Planning and Community Development, 2010, p 21.</w:t>
      </w:r>
    </w:p>
  </w:footnote>
  <w:footnote w:id="26">
    <w:p w14:paraId="321BB854" w14:textId="5BCB1134" w:rsidR="00B25D7A" w:rsidRPr="00667B42" w:rsidRDefault="00B25D7A" w:rsidP="006E5F7C">
      <w:pPr>
        <w:pStyle w:val="FootnoteText"/>
        <w:spacing w:after="120"/>
        <w:jc w:val="left"/>
      </w:pPr>
      <w:r>
        <w:rPr>
          <w:rStyle w:val="FootnoteReference"/>
        </w:rPr>
        <w:footnoteRef/>
      </w:r>
      <w:r>
        <w:t xml:space="preserve"> LHA, cited in </w:t>
      </w:r>
      <w:r>
        <w:rPr>
          <w:i/>
        </w:rPr>
        <w:t xml:space="preserve">Proposal For Change – National Construction Code Series – Accessibility in Housing, </w:t>
      </w:r>
      <w:r>
        <w:t xml:space="preserve">above n 21. Note: This estimate is current to 2014. See also: </w:t>
      </w:r>
      <w:r>
        <w:rPr>
          <w:i/>
        </w:rPr>
        <w:t xml:space="preserve">Delivery of outcomes under the National Disability Strategy 2010-2020 to build inclusive and accessible communities, </w:t>
      </w:r>
      <w:r>
        <w:t>above n 16.</w:t>
      </w:r>
    </w:p>
  </w:footnote>
  <w:footnote w:id="27">
    <w:p w14:paraId="57370912" w14:textId="0C43DF35" w:rsidR="00B25D7A" w:rsidRPr="005E47DF" w:rsidRDefault="00B25D7A" w:rsidP="007A5F65">
      <w:pPr>
        <w:pStyle w:val="FootnoteText"/>
        <w:spacing w:after="120"/>
        <w:jc w:val="left"/>
      </w:pPr>
      <w:r>
        <w:rPr>
          <w:rStyle w:val="FootnoteReference"/>
        </w:rPr>
        <w:footnoteRef/>
      </w:r>
      <w:r>
        <w:t xml:space="preserve"> Jaguar Consulting, </w:t>
      </w:r>
      <w:r>
        <w:rPr>
          <w:i/>
        </w:rPr>
        <w:t xml:space="preserve">Accessible Housing in Australia – A Research Report, </w:t>
      </w:r>
      <w:r>
        <w:t xml:space="preserve">Final Report, February 2006 (unpublished), [2.5.1] pp 40-42; </w:t>
      </w:r>
      <w:r>
        <w:rPr>
          <w:i/>
        </w:rPr>
        <w:t xml:space="preserve">Visitable and Adaptable Features in Housing – Regulatory Impact Statement, </w:t>
      </w:r>
      <w:r>
        <w:t>above n 24, pp 22-25.</w:t>
      </w:r>
    </w:p>
  </w:footnote>
  <w:footnote w:id="28">
    <w:p w14:paraId="6FB25FFD" w14:textId="6AD7A376" w:rsidR="00B25D7A" w:rsidRPr="008C0536" w:rsidRDefault="00B25D7A" w:rsidP="008C0536">
      <w:pPr>
        <w:pStyle w:val="FootnoteText"/>
        <w:spacing w:after="120"/>
        <w:jc w:val="left"/>
        <w:rPr>
          <w:lang w:val="en-US"/>
        </w:rPr>
      </w:pPr>
      <w:r>
        <w:rPr>
          <w:rStyle w:val="FootnoteReference"/>
        </w:rPr>
        <w:footnoteRef/>
      </w:r>
      <w:r>
        <w:t xml:space="preserve"> </w:t>
      </w:r>
      <w:r w:rsidRPr="008C0536">
        <w:t xml:space="preserve">The term </w:t>
      </w:r>
      <w:r>
        <w:t>‘</w:t>
      </w:r>
      <w:r w:rsidRPr="008C0536">
        <w:t>market failure</w:t>
      </w:r>
      <w:r>
        <w:t>’</w:t>
      </w:r>
      <w:r w:rsidRPr="008C0536">
        <w:t xml:space="preserve"> is sometimes misunderstood to indicate a failure of markets to deliver a desirable social or equity goal.</w:t>
      </w:r>
      <w:r>
        <w:t xml:space="preserve"> See: </w:t>
      </w:r>
      <w:r>
        <w:rPr>
          <w:i/>
        </w:rPr>
        <w:t>Best Practice Regulation: A Guide for Ministerial Councils and National Standard Setting B</w:t>
      </w:r>
      <w:r w:rsidRPr="00A9316D">
        <w:rPr>
          <w:i/>
        </w:rPr>
        <w:t>odies</w:t>
      </w:r>
      <w:r>
        <w:t>, above n 2, p 10.</w:t>
      </w:r>
    </w:p>
  </w:footnote>
  <w:footnote w:id="29">
    <w:p w14:paraId="30AF595B" w14:textId="4878B25C" w:rsidR="00B25D7A" w:rsidRDefault="00B25D7A" w:rsidP="00886E81">
      <w:pPr>
        <w:pStyle w:val="FootnoteText"/>
        <w:spacing w:after="120"/>
        <w:jc w:val="left"/>
      </w:pPr>
      <w:r>
        <w:rPr>
          <w:rStyle w:val="FootnoteReference"/>
        </w:rPr>
        <w:footnoteRef/>
      </w:r>
      <w:r>
        <w:t xml:space="preserve"> ANUHD, </w:t>
      </w:r>
      <w:r>
        <w:rPr>
          <w:i/>
        </w:rPr>
        <w:t xml:space="preserve">Report on the Survey on the provision of Livable Housing Design: the costs and benefits to Australian Society, </w:t>
      </w:r>
      <w:r>
        <w:t xml:space="preserve">May 2018, published on the ANUHD website: </w:t>
      </w:r>
      <w:hyperlink r:id="rId4" w:history="1">
        <w:r w:rsidRPr="009A26EF">
          <w:rPr>
            <w:rStyle w:val="Hyperlink"/>
          </w:rPr>
          <w:t>https://aduhdblog.files.wordpress.com/2018/05/anuhd_survey_report-final.pdf</w:t>
        </w:r>
      </w:hyperlink>
      <w:r>
        <w:t>.</w:t>
      </w:r>
    </w:p>
  </w:footnote>
  <w:footnote w:id="30">
    <w:p w14:paraId="57D6C671" w14:textId="60A8159E" w:rsidR="00B25D7A" w:rsidRDefault="00B25D7A" w:rsidP="00D45E6E">
      <w:pPr>
        <w:pStyle w:val="FootnoteText"/>
        <w:spacing w:after="120"/>
        <w:jc w:val="left"/>
      </w:pPr>
      <w:r>
        <w:rPr>
          <w:rStyle w:val="FootnoteReference"/>
        </w:rPr>
        <w:footnoteRef/>
      </w:r>
      <w:r>
        <w:t xml:space="preserve"> </w:t>
      </w:r>
      <w:r w:rsidRPr="00D45E6E">
        <w:rPr>
          <w:i/>
        </w:rPr>
        <w:t>Ibid.</w:t>
      </w:r>
      <w:r>
        <w:t xml:space="preserve"> p 1.</w:t>
      </w:r>
    </w:p>
  </w:footnote>
  <w:footnote w:id="31">
    <w:p w14:paraId="7A065B20" w14:textId="2A9FED79" w:rsidR="00B25D7A" w:rsidRDefault="00B25D7A" w:rsidP="00D45E6E">
      <w:pPr>
        <w:pStyle w:val="FootnoteText"/>
        <w:spacing w:after="120"/>
        <w:jc w:val="left"/>
      </w:pPr>
      <w:r>
        <w:rPr>
          <w:rStyle w:val="FootnoteReference"/>
        </w:rPr>
        <w:footnoteRef/>
      </w:r>
      <w:r>
        <w:t xml:space="preserve"> </w:t>
      </w:r>
      <w:r w:rsidRPr="00D45E6E">
        <w:rPr>
          <w:i/>
        </w:rPr>
        <w:t>Ibid.</w:t>
      </w:r>
      <w:r>
        <w:t xml:space="preserve"> p 10.</w:t>
      </w:r>
    </w:p>
  </w:footnote>
  <w:footnote w:id="32">
    <w:p w14:paraId="5FC5E82C" w14:textId="34F356C4" w:rsidR="00B25D7A" w:rsidRDefault="00B25D7A" w:rsidP="00D45E6E">
      <w:pPr>
        <w:pStyle w:val="FootnoteText"/>
        <w:spacing w:after="120"/>
        <w:jc w:val="left"/>
      </w:pPr>
      <w:r>
        <w:rPr>
          <w:rStyle w:val="FootnoteReference"/>
        </w:rPr>
        <w:footnoteRef/>
      </w:r>
      <w:r>
        <w:t xml:space="preserve"> </w:t>
      </w:r>
      <w:r w:rsidRPr="00D45E6E">
        <w:rPr>
          <w:i/>
        </w:rPr>
        <w:t>Ibid.</w:t>
      </w:r>
      <w:r>
        <w:t xml:space="preserve"> p 18.</w:t>
      </w:r>
    </w:p>
  </w:footnote>
  <w:footnote w:id="33">
    <w:p w14:paraId="3FC4043F" w14:textId="0B109800" w:rsidR="00B25D7A" w:rsidRDefault="00B25D7A" w:rsidP="00704113">
      <w:pPr>
        <w:pStyle w:val="FootnoteText"/>
        <w:spacing w:after="120"/>
        <w:jc w:val="left"/>
      </w:pPr>
      <w:r>
        <w:rPr>
          <w:rStyle w:val="FootnoteReference"/>
        </w:rPr>
        <w:footnoteRef/>
      </w:r>
      <w:r>
        <w:t xml:space="preserve"> </w:t>
      </w:r>
      <w:r w:rsidRPr="00704113">
        <w:rPr>
          <w:i/>
        </w:rPr>
        <w:t>Ibid.</w:t>
      </w:r>
      <w:r>
        <w:t xml:space="preserve"> p 12.</w:t>
      </w:r>
    </w:p>
  </w:footnote>
  <w:footnote w:id="34">
    <w:p w14:paraId="60E76117" w14:textId="76A6225F" w:rsidR="00B25D7A" w:rsidRDefault="00B25D7A" w:rsidP="00CD0356">
      <w:pPr>
        <w:pStyle w:val="FootnoteText"/>
        <w:spacing w:after="120"/>
        <w:jc w:val="left"/>
      </w:pPr>
      <w:r>
        <w:rPr>
          <w:rStyle w:val="FootnoteReference"/>
        </w:rPr>
        <w:footnoteRef/>
      </w:r>
      <w:r>
        <w:t xml:space="preserve"> S Smith, S Rayer and E Smith, 'Aging and Disability: Implications for the Housing Industry and Housing Policy in the United States', </w:t>
      </w:r>
      <w:r>
        <w:rPr>
          <w:i/>
        </w:rPr>
        <w:t xml:space="preserve">Journal of the American Planning Association, </w:t>
      </w:r>
      <w:r>
        <w:t>74(3), 2008, pp 289-305.</w:t>
      </w:r>
    </w:p>
  </w:footnote>
  <w:footnote w:id="35">
    <w:p w14:paraId="5D563DE7" w14:textId="68934891" w:rsidR="00B25D7A" w:rsidRPr="00AC25DF" w:rsidRDefault="00B25D7A" w:rsidP="00AC25DF">
      <w:pPr>
        <w:pStyle w:val="FootnoteText"/>
        <w:spacing w:after="120"/>
        <w:jc w:val="left"/>
      </w:pPr>
      <w:r>
        <w:rPr>
          <w:rStyle w:val="FootnoteReference"/>
        </w:rPr>
        <w:footnoteRef/>
      </w:r>
      <w:r>
        <w:t xml:space="preserve"> </w:t>
      </w:r>
      <w:r>
        <w:rPr>
          <w:i/>
        </w:rPr>
        <w:t xml:space="preserve">ABCB IGA, </w:t>
      </w:r>
      <w:r>
        <w:t>above n 1, [6.1.b] p 12.</w:t>
      </w:r>
    </w:p>
  </w:footnote>
  <w:footnote w:id="36">
    <w:p w14:paraId="41B07BA0" w14:textId="4D01D209" w:rsidR="00B25D7A" w:rsidRDefault="00B25D7A" w:rsidP="00E80CB3">
      <w:pPr>
        <w:pStyle w:val="FootnoteText"/>
        <w:spacing w:after="120"/>
        <w:jc w:val="left"/>
      </w:pPr>
      <w:r>
        <w:rPr>
          <w:rStyle w:val="FootnoteReference"/>
        </w:rPr>
        <w:footnoteRef/>
      </w:r>
      <w:r>
        <w:t xml:space="preserve"> Building Ministers Forum (BMF), </w:t>
      </w:r>
      <w:r>
        <w:rPr>
          <w:i/>
        </w:rPr>
        <w:t xml:space="preserve">Communique, </w:t>
      </w:r>
      <w:r>
        <w:t>6 October 2017.</w:t>
      </w:r>
    </w:p>
  </w:footnote>
  <w:footnote w:id="37">
    <w:p w14:paraId="25025EE6" w14:textId="77777777" w:rsidR="00B25D7A" w:rsidRDefault="00B25D7A" w:rsidP="00E9622D">
      <w:pPr>
        <w:pStyle w:val="FootnoteText"/>
        <w:spacing w:after="120"/>
        <w:jc w:val="left"/>
      </w:pPr>
      <w:r>
        <w:rPr>
          <w:rStyle w:val="FootnoteReference"/>
        </w:rPr>
        <w:footnoteRef/>
      </w:r>
      <w:r>
        <w:t xml:space="preserve"> </w:t>
      </w:r>
      <w:r w:rsidRPr="0091266D">
        <w:t>Definitions of each of the NCC building clas</w:t>
      </w:r>
      <w:r>
        <w:t>sifications referred to above are</w:t>
      </w:r>
      <w:r w:rsidRPr="0091266D">
        <w:t xml:space="preserve"> in</w:t>
      </w:r>
      <w:r>
        <w:t xml:space="preserve"> </w:t>
      </w:r>
      <w:r w:rsidRPr="008963EF">
        <w:t>Appendix B</w:t>
      </w:r>
      <w:r w:rsidRPr="0091266D">
        <w:t>.</w:t>
      </w:r>
    </w:p>
  </w:footnote>
  <w:footnote w:id="38">
    <w:p w14:paraId="66FF6988" w14:textId="77777777" w:rsidR="00B25D7A" w:rsidRDefault="00B25D7A" w:rsidP="00E9622D">
      <w:pPr>
        <w:pStyle w:val="FootnoteText"/>
        <w:spacing w:after="120"/>
        <w:jc w:val="left"/>
      </w:pPr>
      <w:r>
        <w:rPr>
          <w:rStyle w:val="FootnoteReference"/>
        </w:rPr>
        <w:footnoteRef/>
      </w:r>
      <w:r>
        <w:t xml:space="preserve"> Building Ministers Forum, </w:t>
      </w:r>
      <w:r>
        <w:rPr>
          <w:i/>
        </w:rPr>
        <w:t xml:space="preserve">Communique, </w:t>
      </w:r>
      <w:r>
        <w:t>27 April 2018.</w:t>
      </w:r>
    </w:p>
  </w:footnote>
  <w:footnote w:id="39">
    <w:p w14:paraId="774D8D84" w14:textId="56A97CFB" w:rsidR="00B25D7A" w:rsidRDefault="00B25D7A">
      <w:pPr>
        <w:pStyle w:val="FootnoteText"/>
      </w:pPr>
      <w:r>
        <w:rPr>
          <w:rStyle w:val="FootnoteReference"/>
        </w:rPr>
        <w:footnoteRef/>
      </w:r>
      <w:r>
        <w:t xml:space="preserve"> </w:t>
      </w:r>
      <w:r w:rsidRPr="00885934">
        <w:rPr>
          <w:i/>
        </w:rPr>
        <w:t>Ibid.</w:t>
      </w:r>
    </w:p>
  </w:footnote>
  <w:footnote w:id="40">
    <w:p w14:paraId="231894DC" w14:textId="77777777" w:rsidR="00B25D7A" w:rsidRDefault="00B25D7A" w:rsidP="007964FD">
      <w:pPr>
        <w:pStyle w:val="FootnoteText"/>
        <w:spacing w:after="120"/>
        <w:jc w:val="left"/>
      </w:pPr>
      <w:r>
        <w:rPr>
          <w:rStyle w:val="FootnoteReference"/>
        </w:rPr>
        <w:footnoteRef/>
      </w:r>
      <w:r>
        <w:t xml:space="preserve"> </w:t>
      </w:r>
      <w:r w:rsidRPr="006C1FB9">
        <w:rPr>
          <w:i/>
        </w:rPr>
        <w:t>ANUHD Website</w:t>
      </w:r>
      <w:r>
        <w:t xml:space="preserve">, see: </w:t>
      </w:r>
      <w:hyperlink r:id="rId5" w:history="1">
        <w:r w:rsidRPr="00547197">
          <w:rPr>
            <w:rStyle w:val="Hyperlink"/>
          </w:rPr>
          <w:t>https://anuhd.org/</w:t>
        </w:r>
      </w:hyperlink>
      <w:r>
        <w:t xml:space="preserve"> (accessed May 2018).</w:t>
      </w:r>
    </w:p>
  </w:footnote>
  <w:footnote w:id="41">
    <w:p w14:paraId="01138761" w14:textId="77777777" w:rsidR="00B25D7A" w:rsidRPr="006C1FB9" w:rsidRDefault="00B25D7A" w:rsidP="007964FD">
      <w:pPr>
        <w:pStyle w:val="FootnoteText"/>
        <w:spacing w:after="120"/>
        <w:jc w:val="left"/>
      </w:pPr>
      <w:r>
        <w:rPr>
          <w:rStyle w:val="FootnoteReference"/>
        </w:rPr>
        <w:footnoteRef/>
      </w:r>
      <w:r>
        <w:t xml:space="preserve"> ANUHD and R&amp;IA, </w:t>
      </w:r>
      <w:r>
        <w:rPr>
          <w:i/>
        </w:rPr>
        <w:t xml:space="preserve">Position Statement, </w:t>
      </w:r>
      <w:r>
        <w:t>May 2016, p 1.</w:t>
      </w:r>
    </w:p>
  </w:footnote>
  <w:footnote w:id="42">
    <w:p w14:paraId="653D4457" w14:textId="77777777" w:rsidR="00B25D7A" w:rsidRPr="00354357" w:rsidRDefault="00B25D7A" w:rsidP="007964FD">
      <w:pPr>
        <w:pStyle w:val="FootnoteText"/>
        <w:spacing w:after="120"/>
        <w:jc w:val="left"/>
      </w:pPr>
      <w:r>
        <w:rPr>
          <w:rStyle w:val="FootnoteReference"/>
        </w:rPr>
        <w:footnoteRef/>
      </w:r>
      <w:r>
        <w:t xml:space="preserve"> </w:t>
      </w:r>
      <w:r>
        <w:rPr>
          <w:i/>
        </w:rPr>
        <w:t>Best Practice Regulation: A Guide for Ministerial Councils and National Standard Setting B</w:t>
      </w:r>
      <w:r w:rsidRPr="00A9316D">
        <w:rPr>
          <w:i/>
        </w:rPr>
        <w:t>odies</w:t>
      </w:r>
      <w:r>
        <w:rPr>
          <w:i/>
        </w:rPr>
        <w:t xml:space="preserve">, </w:t>
      </w:r>
      <w:r>
        <w:t>above n 2, p 4.</w:t>
      </w:r>
    </w:p>
  </w:footnote>
  <w:footnote w:id="43">
    <w:p w14:paraId="089F3C2B" w14:textId="77777777" w:rsidR="00B25D7A" w:rsidRDefault="00B25D7A" w:rsidP="002F7785">
      <w:pPr>
        <w:pStyle w:val="FootnoteText"/>
        <w:spacing w:after="120"/>
        <w:jc w:val="left"/>
      </w:pPr>
      <w:r>
        <w:rPr>
          <w:rStyle w:val="FootnoteReference"/>
        </w:rPr>
        <w:footnoteRef/>
      </w:r>
      <w:r>
        <w:t xml:space="preserve"> A 'case' being a particular combination of building class and specification level.</w:t>
      </w:r>
    </w:p>
  </w:footnote>
  <w:footnote w:id="44">
    <w:p w14:paraId="532DF384" w14:textId="77777777" w:rsidR="00B25D7A" w:rsidRDefault="00B25D7A" w:rsidP="001F743E">
      <w:pPr>
        <w:pStyle w:val="FootnoteText"/>
        <w:spacing w:after="120"/>
        <w:jc w:val="left"/>
      </w:pPr>
      <w:r>
        <w:rPr>
          <w:rStyle w:val="FootnoteReference"/>
        </w:rPr>
        <w:footnoteRef/>
      </w:r>
      <w:r>
        <w:t xml:space="preserve"> Building Ministers Forum (BMF), </w:t>
      </w:r>
      <w:r>
        <w:rPr>
          <w:i/>
        </w:rPr>
        <w:t xml:space="preserve">Communique, </w:t>
      </w:r>
      <w:r>
        <w:t>6 October 2017.</w:t>
      </w:r>
    </w:p>
  </w:footnote>
  <w:footnote w:id="45">
    <w:p w14:paraId="172DB66A" w14:textId="5670F86B" w:rsidR="00B25D7A" w:rsidRPr="00C96A23" w:rsidRDefault="00B25D7A" w:rsidP="00C96A23">
      <w:pPr>
        <w:pStyle w:val="FootnoteText"/>
        <w:spacing w:after="120"/>
        <w:jc w:val="left"/>
        <w:rPr>
          <w:lang w:val="en-US"/>
        </w:rPr>
      </w:pPr>
      <w:r>
        <w:rPr>
          <w:rStyle w:val="FootnoteReference"/>
        </w:rPr>
        <w:footnoteRef/>
      </w:r>
      <w:r>
        <w:t xml:space="preserve"> </w:t>
      </w:r>
      <w:r>
        <w:rPr>
          <w:i/>
          <w:lang w:val="en-US"/>
        </w:rPr>
        <w:t xml:space="preserve">NCC 2016 Volume One, </w:t>
      </w:r>
      <w:r>
        <w:rPr>
          <w:lang w:val="en-US"/>
        </w:rPr>
        <w:t>cl A1.1—Sole Occupancy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B613" w14:textId="0B5AA60A" w:rsidR="00B25D7A" w:rsidRDefault="00B25D7A" w:rsidP="00CE7404">
    <w:pPr>
      <w:pStyle w:val="Header"/>
      <w:jc w:val="center"/>
    </w:pPr>
    <w:r>
      <w:t>ABCB – ACCESSIBLE HOUSING OPTIONS PAPER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8C66C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E5617"/>
    <w:multiLevelType w:val="hybridMultilevel"/>
    <w:tmpl w:val="F134D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6C03D9"/>
    <w:multiLevelType w:val="hybridMultilevel"/>
    <w:tmpl w:val="AB02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E5CAA"/>
    <w:multiLevelType w:val="hybridMultilevel"/>
    <w:tmpl w:val="6660E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B09CF"/>
    <w:multiLevelType w:val="hybridMultilevel"/>
    <w:tmpl w:val="2CEE278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6" w15:restartNumberingAfterBreak="0">
    <w:nsid w:val="11B466F1"/>
    <w:multiLevelType w:val="hybridMultilevel"/>
    <w:tmpl w:val="F640B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08272A"/>
    <w:multiLevelType w:val="hybridMultilevel"/>
    <w:tmpl w:val="40021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9F2274"/>
    <w:multiLevelType w:val="hybridMultilevel"/>
    <w:tmpl w:val="E79A8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6D6DF2"/>
    <w:multiLevelType w:val="hybridMultilevel"/>
    <w:tmpl w:val="703E9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A81679"/>
    <w:multiLevelType w:val="hybridMultilevel"/>
    <w:tmpl w:val="BCE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DF5224"/>
    <w:multiLevelType w:val="hybridMultilevel"/>
    <w:tmpl w:val="FB3E1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94798"/>
    <w:multiLevelType w:val="hybridMultilevel"/>
    <w:tmpl w:val="BDE8E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10F4B"/>
    <w:multiLevelType w:val="hybridMultilevel"/>
    <w:tmpl w:val="D87A7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16EF3"/>
    <w:multiLevelType w:val="hybridMultilevel"/>
    <w:tmpl w:val="B68C9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F64CF2"/>
    <w:multiLevelType w:val="hybridMultilevel"/>
    <w:tmpl w:val="656A0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7264FC"/>
    <w:multiLevelType w:val="hybridMultilevel"/>
    <w:tmpl w:val="B03C6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406406"/>
    <w:multiLevelType w:val="multilevel"/>
    <w:tmpl w:val="22AEB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A9F152B"/>
    <w:multiLevelType w:val="hybridMultilevel"/>
    <w:tmpl w:val="681ED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E1360"/>
    <w:multiLevelType w:val="hybridMultilevel"/>
    <w:tmpl w:val="17B4D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A52F87"/>
    <w:multiLevelType w:val="multilevel"/>
    <w:tmpl w:val="3796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524B8"/>
    <w:multiLevelType w:val="hybridMultilevel"/>
    <w:tmpl w:val="B5BE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58554F"/>
    <w:multiLevelType w:val="hybridMultilevel"/>
    <w:tmpl w:val="2084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387CF3"/>
    <w:multiLevelType w:val="hybridMultilevel"/>
    <w:tmpl w:val="B364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757D85"/>
    <w:multiLevelType w:val="hybridMultilevel"/>
    <w:tmpl w:val="626C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55056F"/>
    <w:multiLevelType w:val="hybridMultilevel"/>
    <w:tmpl w:val="2624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B79EB"/>
    <w:multiLevelType w:val="hybridMultilevel"/>
    <w:tmpl w:val="E1BA1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63A63"/>
    <w:multiLevelType w:val="hybridMultilevel"/>
    <w:tmpl w:val="4C389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0B1B2D"/>
    <w:multiLevelType w:val="hybridMultilevel"/>
    <w:tmpl w:val="86D05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960682"/>
    <w:multiLevelType w:val="hybridMultilevel"/>
    <w:tmpl w:val="CC241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977F7"/>
    <w:multiLevelType w:val="hybridMultilevel"/>
    <w:tmpl w:val="12220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BA1833"/>
    <w:multiLevelType w:val="hybridMultilevel"/>
    <w:tmpl w:val="2ABCF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A30F35"/>
    <w:multiLevelType w:val="hybridMultilevel"/>
    <w:tmpl w:val="1BCE1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7F6F57"/>
    <w:multiLevelType w:val="hybridMultilevel"/>
    <w:tmpl w:val="19565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874E8C"/>
    <w:multiLevelType w:val="hybridMultilevel"/>
    <w:tmpl w:val="39E6A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AD1EA0"/>
    <w:multiLevelType w:val="hybridMultilevel"/>
    <w:tmpl w:val="43FA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F814E9"/>
    <w:multiLevelType w:val="hybridMultilevel"/>
    <w:tmpl w:val="3FECA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1E1605"/>
    <w:multiLevelType w:val="multilevel"/>
    <w:tmpl w:val="0C09001D"/>
    <w:styleLink w:val="Multi-levelnumber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671786"/>
    <w:multiLevelType w:val="hybridMultilevel"/>
    <w:tmpl w:val="3A32D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FB5C53"/>
    <w:multiLevelType w:val="hybridMultilevel"/>
    <w:tmpl w:val="85908E3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18"/>
  </w:num>
  <w:num w:numId="4">
    <w:abstractNumId w:val="39"/>
  </w:num>
  <w:num w:numId="5">
    <w:abstractNumId w:val="38"/>
  </w:num>
  <w:num w:numId="6">
    <w:abstractNumId w:val="35"/>
  </w:num>
  <w:num w:numId="7">
    <w:abstractNumId w:val="26"/>
  </w:num>
  <w:num w:numId="8">
    <w:abstractNumId w:val="3"/>
  </w:num>
  <w:num w:numId="9">
    <w:abstractNumId w:val="23"/>
  </w:num>
  <w:num w:numId="10">
    <w:abstractNumId w:val="33"/>
  </w:num>
  <w:num w:numId="11">
    <w:abstractNumId w:val="31"/>
  </w:num>
  <w:num w:numId="12">
    <w:abstractNumId w:val="25"/>
  </w:num>
  <w:num w:numId="13">
    <w:abstractNumId w:val="5"/>
  </w:num>
  <w:num w:numId="14">
    <w:abstractNumId w:val="41"/>
  </w:num>
  <w:num w:numId="15">
    <w:abstractNumId w:val="7"/>
  </w:num>
  <w:num w:numId="16">
    <w:abstractNumId w:val="37"/>
  </w:num>
  <w:num w:numId="17">
    <w:abstractNumId w:val="28"/>
  </w:num>
  <w:num w:numId="18">
    <w:abstractNumId w:val="19"/>
  </w:num>
  <w:num w:numId="19">
    <w:abstractNumId w:val="20"/>
  </w:num>
  <w:num w:numId="20">
    <w:abstractNumId w:val="34"/>
  </w:num>
  <w:num w:numId="21">
    <w:abstractNumId w:val="4"/>
  </w:num>
  <w:num w:numId="22">
    <w:abstractNumId w:val="12"/>
  </w:num>
  <w:num w:numId="23">
    <w:abstractNumId w:val="27"/>
  </w:num>
  <w:num w:numId="24">
    <w:abstractNumId w:val="36"/>
  </w:num>
  <w:num w:numId="25">
    <w:abstractNumId w:val="13"/>
  </w:num>
  <w:num w:numId="26">
    <w:abstractNumId w:val="29"/>
  </w:num>
  <w:num w:numId="27">
    <w:abstractNumId w:val="32"/>
  </w:num>
  <w:num w:numId="28">
    <w:abstractNumId w:val="30"/>
  </w:num>
  <w:num w:numId="29">
    <w:abstractNumId w:val="2"/>
  </w:num>
  <w:num w:numId="30">
    <w:abstractNumId w:val="22"/>
  </w:num>
  <w:num w:numId="31">
    <w:abstractNumId w:val="11"/>
  </w:num>
  <w:num w:numId="32">
    <w:abstractNumId w:val="8"/>
  </w:num>
  <w:num w:numId="33">
    <w:abstractNumId w:val="24"/>
  </w:num>
  <w:num w:numId="34">
    <w:abstractNumId w:val="21"/>
  </w:num>
  <w:num w:numId="35">
    <w:abstractNumId w:val="6"/>
  </w:num>
  <w:num w:numId="36">
    <w:abstractNumId w:val="17"/>
  </w:num>
  <w:num w:numId="37">
    <w:abstractNumId w:val="15"/>
  </w:num>
  <w:num w:numId="38">
    <w:abstractNumId w:val="40"/>
  </w:num>
  <w:num w:numId="39">
    <w:abstractNumId w:val="10"/>
  </w:num>
  <w:num w:numId="40">
    <w:abstractNumId w:val="16"/>
  </w:num>
  <w:num w:numId="41">
    <w:abstractNumId w:val="14"/>
  </w:num>
  <w:num w:numId="4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32"/>
    <w:rsid w:val="00003F05"/>
    <w:rsid w:val="00004260"/>
    <w:rsid w:val="00004509"/>
    <w:rsid w:val="00010890"/>
    <w:rsid w:val="000108DC"/>
    <w:rsid w:val="00010B19"/>
    <w:rsid w:val="000114D8"/>
    <w:rsid w:val="00011728"/>
    <w:rsid w:val="00011FF3"/>
    <w:rsid w:val="00014443"/>
    <w:rsid w:val="000148A2"/>
    <w:rsid w:val="000155B5"/>
    <w:rsid w:val="00015C0A"/>
    <w:rsid w:val="00020B62"/>
    <w:rsid w:val="00020D6C"/>
    <w:rsid w:val="00022B80"/>
    <w:rsid w:val="00023967"/>
    <w:rsid w:val="00023BE8"/>
    <w:rsid w:val="000269F6"/>
    <w:rsid w:val="00027178"/>
    <w:rsid w:val="000274ED"/>
    <w:rsid w:val="00031BB4"/>
    <w:rsid w:val="00033310"/>
    <w:rsid w:val="000345E6"/>
    <w:rsid w:val="00035157"/>
    <w:rsid w:val="00036468"/>
    <w:rsid w:val="000371E5"/>
    <w:rsid w:val="000374C5"/>
    <w:rsid w:val="00037772"/>
    <w:rsid w:val="00041E13"/>
    <w:rsid w:val="00042544"/>
    <w:rsid w:val="0004301C"/>
    <w:rsid w:val="0004419B"/>
    <w:rsid w:val="0004528E"/>
    <w:rsid w:val="00050F5C"/>
    <w:rsid w:val="0005323C"/>
    <w:rsid w:val="0005487F"/>
    <w:rsid w:val="00054A01"/>
    <w:rsid w:val="00054CC6"/>
    <w:rsid w:val="00055B80"/>
    <w:rsid w:val="000562F3"/>
    <w:rsid w:val="000577DB"/>
    <w:rsid w:val="00057DD1"/>
    <w:rsid w:val="0006380F"/>
    <w:rsid w:val="00064753"/>
    <w:rsid w:val="00064BA1"/>
    <w:rsid w:val="000656F2"/>
    <w:rsid w:val="000657C6"/>
    <w:rsid w:val="000665BC"/>
    <w:rsid w:val="00066852"/>
    <w:rsid w:val="00067CC3"/>
    <w:rsid w:val="00067D37"/>
    <w:rsid w:val="00070673"/>
    <w:rsid w:val="00070BA3"/>
    <w:rsid w:val="00072144"/>
    <w:rsid w:val="00074158"/>
    <w:rsid w:val="00076C27"/>
    <w:rsid w:val="00077BE8"/>
    <w:rsid w:val="00077F5F"/>
    <w:rsid w:val="00081028"/>
    <w:rsid w:val="00081C3F"/>
    <w:rsid w:val="00083EDE"/>
    <w:rsid w:val="00087494"/>
    <w:rsid w:val="00087880"/>
    <w:rsid w:val="00091743"/>
    <w:rsid w:val="0009286B"/>
    <w:rsid w:val="000972FD"/>
    <w:rsid w:val="000A33ED"/>
    <w:rsid w:val="000A37CD"/>
    <w:rsid w:val="000A5E72"/>
    <w:rsid w:val="000A5FAD"/>
    <w:rsid w:val="000B0869"/>
    <w:rsid w:val="000B09CD"/>
    <w:rsid w:val="000B1F68"/>
    <w:rsid w:val="000B436F"/>
    <w:rsid w:val="000B4FD8"/>
    <w:rsid w:val="000B656D"/>
    <w:rsid w:val="000C0FF9"/>
    <w:rsid w:val="000C2D0D"/>
    <w:rsid w:val="000C55D5"/>
    <w:rsid w:val="000C765C"/>
    <w:rsid w:val="000C791F"/>
    <w:rsid w:val="000D062C"/>
    <w:rsid w:val="000D13FD"/>
    <w:rsid w:val="000D3298"/>
    <w:rsid w:val="000D37FA"/>
    <w:rsid w:val="000D5240"/>
    <w:rsid w:val="000D5343"/>
    <w:rsid w:val="000D5371"/>
    <w:rsid w:val="000D53E6"/>
    <w:rsid w:val="000E3D73"/>
    <w:rsid w:val="000E57ED"/>
    <w:rsid w:val="000E6A6F"/>
    <w:rsid w:val="000E7305"/>
    <w:rsid w:val="000E7B03"/>
    <w:rsid w:val="000F1704"/>
    <w:rsid w:val="000F2EC6"/>
    <w:rsid w:val="000F387A"/>
    <w:rsid w:val="000F38C6"/>
    <w:rsid w:val="000F7DD2"/>
    <w:rsid w:val="00101035"/>
    <w:rsid w:val="00101175"/>
    <w:rsid w:val="00103A29"/>
    <w:rsid w:val="00104012"/>
    <w:rsid w:val="0010584F"/>
    <w:rsid w:val="001078B9"/>
    <w:rsid w:val="00111949"/>
    <w:rsid w:val="0011323C"/>
    <w:rsid w:val="00114D3B"/>
    <w:rsid w:val="001155C1"/>
    <w:rsid w:val="0011578E"/>
    <w:rsid w:val="001158A4"/>
    <w:rsid w:val="0011644A"/>
    <w:rsid w:val="00116CB5"/>
    <w:rsid w:val="0012056E"/>
    <w:rsid w:val="001238FA"/>
    <w:rsid w:val="001244D1"/>
    <w:rsid w:val="00125FF8"/>
    <w:rsid w:val="00127F4A"/>
    <w:rsid w:val="00132915"/>
    <w:rsid w:val="00135150"/>
    <w:rsid w:val="00141822"/>
    <w:rsid w:val="001418BB"/>
    <w:rsid w:val="001435D2"/>
    <w:rsid w:val="00144ADD"/>
    <w:rsid w:val="001456EC"/>
    <w:rsid w:val="00145C8A"/>
    <w:rsid w:val="00146002"/>
    <w:rsid w:val="00151891"/>
    <w:rsid w:val="001522B6"/>
    <w:rsid w:val="00152B5D"/>
    <w:rsid w:val="00152C28"/>
    <w:rsid w:val="00155C0B"/>
    <w:rsid w:val="00156539"/>
    <w:rsid w:val="0015678C"/>
    <w:rsid w:val="00157CAC"/>
    <w:rsid w:val="001600A0"/>
    <w:rsid w:val="00162815"/>
    <w:rsid w:val="00162CA9"/>
    <w:rsid w:val="00163F60"/>
    <w:rsid w:val="001656C9"/>
    <w:rsid w:val="00165A27"/>
    <w:rsid w:val="00165E28"/>
    <w:rsid w:val="00167547"/>
    <w:rsid w:val="00170E7A"/>
    <w:rsid w:val="00171B51"/>
    <w:rsid w:val="0017316A"/>
    <w:rsid w:val="00174FD9"/>
    <w:rsid w:val="00176D1D"/>
    <w:rsid w:val="001773DE"/>
    <w:rsid w:val="001778DE"/>
    <w:rsid w:val="00182090"/>
    <w:rsid w:val="001827DD"/>
    <w:rsid w:val="001845B2"/>
    <w:rsid w:val="0018567C"/>
    <w:rsid w:val="00186488"/>
    <w:rsid w:val="001876A8"/>
    <w:rsid w:val="001900A7"/>
    <w:rsid w:val="001901EC"/>
    <w:rsid w:val="00190993"/>
    <w:rsid w:val="001942A6"/>
    <w:rsid w:val="00195067"/>
    <w:rsid w:val="00195077"/>
    <w:rsid w:val="0019538D"/>
    <w:rsid w:val="00195C3B"/>
    <w:rsid w:val="00196BB3"/>
    <w:rsid w:val="001A1B95"/>
    <w:rsid w:val="001A278D"/>
    <w:rsid w:val="001A3148"/>
    <w:rsid w:val="001A353C"/>
    <w:rsid w:val="001A428D"/>
    <w:rsid w:val="001A429F"/>
    <w:rsid w:val="001A49C4"/>
    <w:rsid w:val="001A5C8F"/>
    <w:rsid w:val="001A6EEF"/>
    <w:rsid w:val="001B0D50"/>
    <w:rsid w:val="001B133E"/>
    <w:rsid w:val="001B1362"/>
    <w:rsid w:val="001B14F7"/>
    <w:rsid w:val="001B4265"/>
    <w:rsid w:val="001B5EB4"/>
    <w:rsid w:val="001B7407"/>
    <w:rsid w:val="001B7A84"/>
    <w:rsid w:val="001B7CD0"/>
    <w:rsid w:val="001C3547"/>
    <w:rsid w:val="001C45BC"/>
    <w:rsid w:val="001C4FF0"/>
    <w:rsid w:val="001C55E6"/>
    <w:rsid w:val="001C66DB"/>
    <w:rsid w:val="001C7AFA"/>
    <w:rsid w:val="001D0636"/>
    <w:rsid w:val="001D0973"/>
    <w:rsid w:val="001D1C65"/>
    <w:rsid w:val="001D3AE5"/>
    <w:rsid w:val="001D45D3"/>
    <w:rsid w:val="001D4AB0"/>
    <w:rsid w:val="001D55C1"/>
    <w:rsid w:val="001D5A61"/>
    <w:rsid w:val="001D6BF9"/>
    <w:rsid w:val="001D72C9"/>
    <w:rsid w:val="001E069E"/>
    <w:rsid w:val="001E18BA"/>
    <w:rsid w:val="001E1E6B"/>
    <w:rsid w:val="001E2E6F"/>
    <w:rsid w:val="001E4E8C"/>
    <w:rsid w:val="001E5BA0"/>
    <w:rsid w:val="001E7C1B"/>
    <w:rsid w:val="001F02EB"/>
    <w:rsid w:val="001F0E1D"/>
    <w:rsid w:val="001F2EB4"/>
    <w:rsid w:val="001F3DBF"/>
    <w:rsid w:val="001F5963"/>
    <w:rsid w:val="001F743E"/>
    <w:rsid w:val="00200CD7"/>
    <w:rsid w:val="00203464"/>
    <w:rsid w:val="00203E79"/>
    <w:rsid w:val="002059B5"/>
    <w:rsid w:val="00206405"/>
    <w:rsid w:val="002065B1"/>
    <w:rsid w:val="00210BFF"/>
    <w:rsid w:val="00214B46"/>
    <w:rsid w:val="00214B9C"/>
    <w:rsid w:val="00215762"/>
    <w:rsid w:val="00216B75"/>
    <w:rsid w:val="00216FEB"/>
    <w:rsid w:val="00220AA4"/>
    <w:rsid w:val="00220BEC"/>
    <w:rsid w:val="00220EF4"/>
    <w:rsid w:val="0022170A"/>
    <w:rsid w:val="0022194E"/>
    <w:rsid w:val="00223082"/>
    <w:rsid w:val="00223834"/>
    <w:rsid w:val="00223D9A"/>
    <w:rsid w:val="00225760"/>
    <w:rsid w:val="00227571"/>
    <w:rsid w:val="00231A05"/>
    <w:rsid w:val="00231A61"/>
    <w:rsid w:val="00233232"/>
    <w:rsid w:val="0023338C"/>
    <w:rsid w:val="0023463F"/>
    <w:rsid w:val="00235351"/>
    <w:rsid w:val="00237042"/>
    <w:rsid w:val="002401B7"/>
    <w:rsid w:val="00240593"/>
    <w:rsid w:val="00241D67"/>
    <w:rsid w:val="00244EDE"/>
    <w:rsid w:val="0024769F"/>
    <w:rsid w:val="0025070A"/>
    <w:rsid w:val="00251CA9"/>
    <w:rsid w:val="002521F8"/>
    <w:rsid w:val="00252840"/>
    <w:rsid w:val="00260412"/>
    <w:rsid w:val="00261306"/>
    <w:rsid w:val="00261347"/>
    <w:rsid w:val="00262251"/>
    <w:rsid w:val="00262794"/>
    <w:rsid w:val="00265DC0"/>
    <w:rsid w:val="00270CF0"/>
    <w:rsid w:val="00272196"/>
    <w:rsid w:val="00272E36"/>
    <w:rsid w:val="00273AC1"/>
    <w:rsid w:val="00274583"/>
    <w:rsid w:val="00274C55"/>
    <w:rsid w:val="00274D76"/>
    <w:rsid w:val="00280F73"/>
    <w:rsid w:val="00282158"/>
    <w:rsid w:val="002825CE"/>
    <w:rsid w:val="002848F6"/>
    <w:rsid w:val="00285CF3"/>
    <w:rsid w:val="00285E37"/>
    <w:rsid w:val="00286FDD"/>
    <w:rsid w:val="00287E0F"/>
    <w:rsid w:val="002903DC"/>
    <w:rsid w:val="00290639"/>
    <w:rsid w:val="0029079E"/>
    <w:rsid w:val="0029162E"/>
    <w:rsid w:val="00291F4F"/>
    <w:rsid w:val="00293098"/>
    <w:rsid w:val="002935D6"/>
    <w:rsid w:val="00294D08"/>
    <w:rsid w:val="0029519B"/>
    <w:rsid w:val="002953F7"/>
    <w:rsid w:val="00296F65"/>
    <w:rsid w:val="002A087C"/>
    <w:rsid w:val="002A0D75"/>
    <w:rsid w:val="002A23B2"/>
    <w:rsid w:val="002A2C96"/>
    <w:rsid w:val="002A365B"/>
    <w:rsid w:val="002A437E"/>
    <w:rsid w:val="002A5B86"/>
    <w:rsid w:val="002A60DC"/>
    <w:rsid w:val="002B01E3"/>
    <w:rsid w:val="002B0BD4"/>
    <w:rsid w:val="002B15FB"/>
    <w:rsid w:val="002B46B2"/>
    <w:rsid w:val="002B49A3"/>
    <w:rsid w:val="002C1BA9"/>
    <w:rsid w:val="002C2EDA"/>
    <w:rsid w:val="002C4107"/>
    <w:rsid w:val="002C4BD7"/>
    <w:rsid w:val="002C57BA"/>
    <w:rsid w:val="002C765B"/>
    <w:rsid w:val="002C7DA9"/>
    <w:rsid w:val="002D0F87"/>
    <w:rsid w:val="002D186A"/>
    <w:rsid w:val="002D30DD"/>
    <w:rsid w:val="002D3533"/>
    <w:rsid w:val="002D481E"/>
    <w:rsid w:val="002D6225"/>
    <w:rsid w:val="002E0969"/>
    <w:rsid w:val="002E2A78"/>
    <w:rsid w:val="002E43E7"/>
    <w:rsid w:val="002E58E6"/>
    <w:rsid w:val="002E6A3D"/>
    <w:rsid w:val="002E75CF"/>
    <w:rsid w:val="002F101C"/>
    <w:rsid w:val="002F19FE"/>
    <w:rsid w:val="002F219D"/>
    <w:rsid w:val="002F4D7E"/>
    <w:rsid w:val="002F741D"/>
    <w:rsid w:val="002F7785"/>
    <w:rsid w:val="00300AF5"/>
    <w:rsid w:val="00302840"/>
    <w:rsid w:val="00302F83"/>
    <w:rsid w:val="003035C3"/>
    <w:rsid w:val="00305175"/>
    <w:rsid w:val="00305904"/>
    <w:rsid w:val="0030617C"/>
    <w:rsid w:val="00306951"/>
    <w:rsid w:val="003071E3"/>
    <w:rsid w:val="00307D42"/>
    <w:rsid w:val="00310FF9"/>
    <w:rsid w:val="003111BF"/>
    <w:rsid w:val="00312638"/>
    <w:rsid w:val="00313A23"/>
    <w:rsid w:val="003143AC"/>
    <w:rsid w:val="00314D30"/>
    <w:rsid w:val="00314FEA"/>
    <w:rsid w:val="003154A6"/>
    <w:rsid w:val="00315F63"/>
    <w:rsid w:val="0031646B"/>
    <w:rsid w:val="0032077B"/>
    <w:rsid w:val="00321B51"/>
    <w:rsid w:val="00321CF3"/>
    <w:rsid w:val="00322DDB"/>
    <w:rsid w:val="003268DF"/>
    <w:rsid w:val="003272FF"/>
    <w:rsid w:val="00330964"/>
    <w:rsid w:val="00332205"/>
    <w:rsid w:val="00333065"/>
    <w:rsid w:val="00333115"/>
    <w:rsid w:val="00333D34"/>
    <w:rsid w:val="003344B3"/>
    <w:rsid w:val="0033488D"/>
    <w:rsid w:val="003358E4"/>
    <w:rsid w:val="00337EEB"/>
    <w:rsid w:val="0034096C"/>
    <w:rsid w:val="00341E85"/>
    <w:rsid w:val="00343312"/>
    <w:rsid w:val="00345ED5"/>
    <w:rsid w:val="00346506"/>
    <w:rsid w:val="003476CE"/>
    <w:rsid w:val="00350D38"/>
    <w:rsid w:val="00353E75"/>
    <w:rsid w:val="003540B9"/>
    <w:rsid w:val="00354357"/>
    <w:rsid w:val="00354BC7"/>
    <w:rsid w:val="00356A58"/>
    <w:rsid w:val="00361196"/>
    <w:rsid w:val="00364817"/>
    <w:rsid w:val="00365882"/>
    <w:rsid w:val="0036596D"/>
    <w:rsid w:val="0036624E"/>
    <w:rsid w:val="003665B6"/>
    <w:rsid w:val="0036695B"/>
    <w:rsid w:val="00367DC3"/>
    <w:rsid w:val="00370D24"/>
    <w:rsid w:val="0037120A"/>
    <w:rsid w:val="00373954"/>
    <w:rsid w:val="00376E13"/>
    <w:rsid w:val="003772BE"/>
    <w:rsid w:val="00377791"/>
    <w:rsid w:val="00377FB4"/>
    <w:rsid w:val="003805A3"/>
    <w:rsid w:val="00380EEC"/>
    <w:rsid w:val="00383779"/>
    <w:rsid w:val="003849EC"/>
    <w:rsid w:val="00384A7A"/>
    <w:rsid w:val="00384F91"/>
    <w:rsid w:val="00385CB5"/>
    <w:rsid w:val="003867C8"/>
    <w:rsid w:val="00390C2D"/>
    <w:rsid w:val="00390D4A"/>
    <w:rsid w:val="003924C6"/>
    <w:rsid w:val="00392D8B"/>
    <w:rsid w:val="00393140"/>
    <w:rsid w:val="00393759"/>
    <w:rsid w:val="003937A8"/>
    <w:rsid w:val="00394522"/>
    <w:rsid w:val="00394860"/>
    <w:rsid w:val="003956EF"/>
    <w:rsid w:val="00395807"/>
    <w:rsid w:val="003977E6"/>
    <w:rsid w:val="003A2081"/>
    <w:rsid w:val="003A22A1"/>
    <w:rsid w:val="003A250E"/>
    <w:rsid w:val="003A5620"/>
    <w:rsid w:val="003A5689"/>
    <w:rsid w:val="003A5D95"/>
    <w:rsid w:val="003A6353"/>
    <w:rsid w:val="003A641B"/>
    <w:rsid w:val="003A6DCA"/>
    <w:rsid w:val="003B0E59"/>
    <w:rsid w:val="003B2BB7"/>
    <w:rsid w:val="003B356A"/>
    <w:rsid w:val="003B3C9F"/>
    <w:rsid w:val="003B4AF9"/>
    <w:rsid w:val="003B54FF"/>
    <w:rsid w:val="003C08D2"/>
    <w:rsid w:val="003C09AC"/>
    <w:rsid w:val="003C0DCF"/>
    <w:rsid w:val="003C2451"/>
    <w:rsid w:val="003C284C"/>
    <w:rsid w:val="003C319A"/>
    <w:rsid w:val="003C5025"/>
    <w:rsid w:val="003C5031"/>
    <w:rsid w:val="003C7657"/>
    <w:rsid w:val="003D0790"/>
    <w:rsid w:val="003D0B09"/>
    <w:rsid w:val="003D0E0A"/>
    <w:rsid w:val="003D2A83"/>
    <w:rsid w:val="003D4ABB"/>
    <w:rsid w:val="003D4F8B"/>
    <w:rsid w:val="003D5AEF"/>
    <w:rsid w:val="003D6A31"/>
    <w:rsid w:val="003E0A98"/>
    <w:rsid w:val="003E458D"/>
    <w:rsid w:val="003E5666"/>
    <w:rsid w:val="003E6535"/>
    <w:rsid w:val="003E6775"/>
    <w:rsid w:val="003E6F50"/>
    <w:rsid w:val="003F086F"/>
    <w:rsid w:val="003F113E"/>
    <w:rsid w:val="003F2807"/>
    <w:rsid w:val="003F2DBF"/>
    <w:rsid w:val="003F4F83"/>
    <w:rsid w:val="003F5709"/>
    <w:rsid w:val="003F61AB"/>
    <w:rsid w:val="004005EA"/>
    <w:rsid w:val="00400843"/>
    <w:rsid w:val="00401B8F"/>
    <w:rsid w:val="00401D21"/>
    <w:rsid w:val="00402755"/>
    <w:rsid w:val="00402BC1"/>
    <w:rsid w:val="00403EF1"/>
    <w:rsid w:val="004045A0"/>
    <w:rsid w:val="0040623F"/>
    <w:rsid w:val="004076EC"/>
    <w:rsid w:val="0041048E"/>
    <w:rsid w:val="00410EC2"/>
    <w:rsid w:val="0041101A"/>
    <w:rsid w:val="004138DE"/>
    <w:rsid w:val="00413C0F"/>
    <w:rsid w:val="00414E7C"/>
    <w:rsid w:val="0041573B"/>
    <w:rsid w:val="00415776"/>
    <w:rsid w:val="00420A83"/>
    <w:rsid w:val="00420F4B"/>
    <w:rsid w:val="0042417E"/>
    <w:rsid w:val="004243AF"/>
    <w:rsid w:val="004256F3"/>
    <w:rsid w:val="00425B9E"/>
    <w:rsid w:val="00427104"/>
    <w:rsid w:val="00430DFB"/>
    <w:rsid w:val="00431230"/>
    <w:rsid w:val="004355B8"/>
    <w:rsid w:val="00437BF7"/>
    <w:rsid w:val="00440B42"/>
    <w:rsid w:val="00440DED"/>
    <w:rsid w:val="004416E3"/>
    <w:rsid w:val="00441E67"/>
    <w:rsid w:val="00446274"/>
    <w:rsid w:val="004548BB"/>
    <w:rsid w:val="004550D5"/>
    <w:rsid w:val="004566B9"/>
    <w:rsid w:val="00456A23"/>
    <w:rsid w:val="00457FF0"/>
    <w:rsid w:val="0046229B"/>
    <w:rsid w:val="00465291"/>
    <w:rsid w:val="00466965"/>
    <w:rsid w:val="00466DF6"/>
    <w:rsid w:val="0046740F"/>
    <w:rsid w:val="00471614"/>
    <w:rsid w:val="00472A85"/>
    <w:rsid w:val="004767E4"/>
    <w:rsid w:val="00477736"/>
    <w:rsid w:val="00477811"/>
    <w:rsid w:val="00481816"/>
    <w:rsid w:val="004822D3"/>
    <w:rsid w:val="0048375C"/>
    <w:rsid w:val="00483847"/>
    <w:rsid w:val="00485659"/>
    <w:rsid w:val="00487717"/>
    <w:rsid w:val="00487CDA"/>
    <w:rsid w:val="00490C86"/>
    <w:rsid w:val="00491A17"/>
    <w:rsid w:val="00491BC1"/>
    <w:rsid w:val="004925B5"/>
    <w:rsid w:val="004935C5"/>
    <w:rsid w:val="00495EAE"/>
    <w:rsid w:val="004A18BA"/>
    <w:rsid w:val="004A2937"/>
    <w:rsid w:val="004A2F19"/>
    <w:rsid w:val="004A308E"/>
    <w:rsid w:val="004A3100"/>
    <w:rsid w:val="004A44C4"/>
    <w:rsid w:val="004B23A5"/>
    <w:rsid w:val="004B329B"/>
    <w:rsid w:val="004B3495"/>
    <w:rsid w:val="004B4E91"/>
    <w:rsid w:val="004B70D6"/>
    <w:rsid w:val="004C2332"/>
    <w:rsid w:val="004C2AE7"/>
    <w:rsid w:val="004C3A8D"/>
    <w:rsid w:val="004C5267"/>
    <w:rsid w:val="004C560E"/>
    <w:rsid w:val="004C5799"/>
    <w:rsid w:val="004D1AE3"/>
    <w:rsid w:val="004D358E"/>
    <w:rsid w:val="004D47BB"/>
    <w:rsid w:val="004D4EDD"/>
    <w:rsid w:val="004D68E8"/>
    <w:rsid w:val="004D6EC6"/>
    <w:rsid w:val="004D71B7"/>
    <w:rsid w:val="004E040D"/>
    <w:rsid w:val="004E0897"/>
    <w:rsid w:val="004E12D8"/>
    <w:rsid w:val="004E239B"/>
    <w:rsid w:val="004E2697"/>
    <w:rsid w:val="004E3349"/>
    <w:rsid w:val="004E40A5"/>
    <w:rsid w:val="004E428A"/>
    <w:rsid w:val="004E4D29"/>
    <w:rsid w:val="004E5E25"/>
    <w:rsid w:val="004E5E55"/>
    <w:rsid w:val="004E6A24"/>
    <w:rsid w:val="004E71CD"/>
    <w:rsid w:val="004F0152"/>
    <w:rsid w:val="004F052D"/>
    <w:rsid w:val="004F0DAB"/>
    <w:rsid w:val="004F191F"/>
    <w:rsid w:val="004F2087"/>
    <w:rsid w:val="004F20D0"/>
    <w:rsid w:val="004F23F7"/>
    <w:rsid w:val="004F40B7"/>
    <w:rsid w:val="004F4B19"/>
    <w:rsid w:val="004F5E85"/>
    <w:rsid w:val="004F7706"/>
    <w:rsid w:val="005015F4"/>
    <w:rsid w:val="00501765"/>
    <w:rsid w:val="00504429"/>
    <w:rsid w:val="00505080"/>
    <w:rsid w:val="0050527E"/>
    <w:rsid w:val="005064E8"/>
    <w:rsid w:val="00507443"/>
    <w:rsid w:val="00510083"/>
    <w:rsid w:val="00510CF9"/>
    <w:rsid w:val="005111BC"/>
    <w:rsid w:val="00514E7E"/>
    <w:rsid w:val="0052056C"/>
    <w:rsid w:val="005209B7"/>
    <w:rsid w:val="00522A27"/>
    <w:rsid w:val="00523615"/>
    <w:rsid w:val="00523935"/>
    <w:rsid w:val="00525664"/>
    <w:rsid w:val="005256CF"/>
    <w:rsid w:val="005261A2"/>
    <w:rsid w:val="00527273"/>
    <w:rsid w:val="005327D8"/>
    <w:rsid w:val="00533D4F"/>
    <w:rsid w:val="005354AB"/>
    <w:rsid w:val="00540048"/>
    <w:rsid w:val="0054166D"/>
    <w:rsid w:val="00542817"/>
    <w:rsid w:val="00544456"/>
    <w:rsid w:val="0054562E"/>
    <w:rsid w:val="00545C7F"/>
    <w:rsid w:val="00545F57"/>
    <w:rsid w:val="00545F5F"/>
    <w:rsid w:val="00546009"/>
    <w:rsid w:val="0055108E"/>
    <w:rsid w:val="005536D4"/>
    <w:rsid w:val="00553743"/>
    <w:rsid w:val="00554B13"/>
    <w:rsid w:val="00556541"/>
    <w:rsid w:val="00557285"/>
    <w:rsid w:val="00562636"/>
    <w:rsid w:val="00562D18"/>
    <w:rsid w:val="00562E18"/>
    <w:rsid w:val="00564F99"/>
    <w:rsid w:val="0056560E"/>
    <w:rsid w:val="00566287"/>
    <w:rsid w:val="00566820"/>
    <w:rsid w:val="0056755F"/>
    <w:rsid w:val="00571396"/>
    <w:rsid w:val="00572A0B"/>
    <w:rsid w:val="00575CC0"/>
    <w:rsid w:val="0057665D"/>
    <w:rsid w:val="00576BB0"/>
    <w:rsid w:val="0057720A"/>
    <w:rsid w:val="00577FE7"/>
    <w:rsid w:val="00580427"/>
    <w:rsid w:val="00581D33"/>
    <w:rsid w:val="00585112"/>
    <w:rsid w:val="00585BA8"/>
    <w:rsid w:val="0058608D"/>
    <w:rsid w:val="00586D79"/>
    <w:rsid w:val="0059028A"/>
    <w:rsid w:val="00590804"/>
    <w:rsid w:val="00590868"/>
    <w:rsid w:val="005913ED"/>
    <w:rsid w:val="00591554"/>
    <w:rsid w:val="00591B5B"/>
    <w:rsid w:val="00592265"/>
    <w:rsid w:val="005943B9"/>
    <w:rsid w:val="005945BF"/>
    <w:rsid w:val="00594CDC"/>
    <w:rsid w:val="00595333"/>
    <w:rsid w:val="005971AB"/>
    <w:rsid w:val="005A2793"/>
    <w:rsid w:val="005A391F"/>
    <w:rsid w:val="005A5F7E"/>
    <w:rsid w:val="005A67E8"/>
    <w:rsid w:val="005A6AB7"/>
    <w:rsid w:val="005B092D"/>
    <w:rsid w:val="005B1547"/>
    <w:rsid w:val="005B337C"/>
    <w:rsid w:val="005B3452"/>
    <w:rsid w:val="005B34E9"/>
    <w:rsid w:val="005B48BD"/>
    <w:rsid w:val="005B493F"/>
    <w:rsid w:val="005B7533"/>
    <w:rsid w:val="005C0A14"/>
    <w:rsid w:val="005C38C8"/>
    <w:rsid w:val="005C4BB4"/>
    <w:rsid w:val="005C4D29"/>
    <w:rsid w:val="005C4E52"/>
    <w:rsid w:val="005C5245"/>
    <w:rsid w:val="005C653B"/>
    <w:rsid w:val="005D0666"/>
    <w:rsid w:val="005D12F7"/>
    <w:rsid w:val="005D1B17"/>
    <w:rsid w:val="005D59B2"/>
    <w:rsid w:val="005D5D12"/>
    <w:rsid w:val="005D78CF"/>
    <w:rsid w:val="005E13FF"/>
    <w:rsid w:val="005E1E73"/>
    <w:rsid w:val="005E2A5F"/>
    <w:rsid w:val="005E3B83"/>
    <w:rsid w:val="005E47DF"/>
    <w:rsid w:val="005E5FFD"/>
    <w:rsid w:val="005E6F70"/>
    <w:rsid w:val="005E708A"/>
    <w:rsid w:val="005E72B1"/>
    <w:rsid w:val="005E7AA2"/>
    <w:rsid w:val="005E7C83"/>
    <w:rsid w:val="005F07A3"/>
    <w:rsid w:val="005F2D23"/>
    <w:rsid w:val="00601035"/>
    <w:rsid w:val="00601DF2"/>
    <w:rsid w:val="0060397A"/>
    <w:rsid w:val="00603CE4"/>
    <w:rsid w:val="00604AD8"/>
    <w:rsid w:val="00604E04"/>
    <w:rsid w:val="006054CC"/>
    <w:rsid w:val="00606673"/>
    <w:rsid w:val="00611785"/>
    <w:rsid w:val="00611B32"/>
    <w:rsid w:val="006157C9"/>
    <w:rsid w:val="00615D4D"/>
    <w:rsid w:val="00616CC1"/>
    <w:rsid w:val="006202E0"/>
    <w:rsid w:val="00620F78"/>
    <w:rsid w:val="00622E7E"/>
    <w:rsid w:val="00624373"/>
    <w:rsid w:val="00625E25"/>
    <w:rsid w:val="006264AD"/>
    <w:rsid w:val="0062770B"/>
    <w:rsid w:val="0063011E"/>
    <w:rsid w:val="00633F81"/>
    <w:rsid w:val="00637492"/>
    <w:rsid w:val="006374DD"/>
    <w:rsid w:val="00640644"/>
    <w:rsid w:val="00640DAD"/>
    <w:rsid w:val="00640EC9"/>
    <w:rsid w:val="0064120C"/>
    <w:rsid w:val="006429B2"/>
    <w:rsid w:val="00643081"/>
    <w:rsid w:val="00643E80"/>
    <w:rsid w:val="00644ED9"/>
    <w:rsid w:val="00645CC6"/>
    <w:rsid w:val="00646FC7"/>
    <w:rsid w:val="006475BE"/>
    <w:rsid w:val="0064791F"/>
    <w:rsid w:val="00647CE4"/>
    <w:rsid w:val="00650D1F"/>
    <w:rsid w:val="00652DB3"/>
    <w:rsid w:val="00654090"/>
    <w:rsid w:val="00655199"/>
    <w:rsid w:val="00655567"/>
    <w:rsid w:val="00656C67"/>
    <w:rsid w:val="00657579"/>
    <w:rsid w:val="00660B15"/>
    <w:rsid w:val="006617ED"/>
    <w:rsid w:val="00661921"/>
    <w:rsid w:val="006625F2"/>
    <w:rsid w:val="0066267D"/>
    <w:rsid w:val="006631DD"/>
    <w:rsid w:val="00663325"/>
    <w:rsid w:val="00663A69"/>
    <w:rsid w:val="00663EF3"/>
    <w:rsid w:val="006645D7"/>
    <w:rsid w:val="0066541B"/>
    <w:rsid w:val="0066553C"/>
    <w:rsid w:val="00666CA2"/>
    <w:rsid w:val="0066723E"/>
    <w:rsid w:val="00667B42"/>
    <w:rsid w:val="00670191"/>
    <w:rsid w:val="006702A6"/>
    <w:rsid w:val="006703BF"/>
    <w:rsid w:val="0067270B"/>
    <w:rsid w:val="00673453"/>
    <w:rsid w:val="0067403B"/>
    <w:rsid w:val="00674735"/>
    <w:rsid w:val="0067667C"/>
    <w:rsid w:val="006774AC"/>
    <w:rsid w:val="00677567"/>
    <w:rsid w:val="0068402A"/>
    <w:rsid w:val="0068418F"/>
    <w:rsid w:val="00684542"/>
    <w:rsid w:val="00684B34"/>
    <w:rsid w:val="00685FBD"/>
    <w:rsid w:val="00686059"/>
    <w:rsid w:val="00686DE3"/>
    <w:rsid w:val="00687202"/>
    <w:rsid w:val="006878C5"/>
    <w:rsid w:val="00690026"/>
    <w:rsid w:val="0069200F"/>
    <w:rsid w:val="00692289"/>
    <w:rsid w:val="00692F74"/>
    <w:rsid w:val="00693046"/>
    <w:rsid w:val="00693A70"/>
    <w:rsid w:val="00693BD4"/>
    <w:rsid w:val="00693ED7"/>
    <w:rsid w:val="0069558F"/>
    <w:rsid w:val="00696E3F"/>
    <w:rsid w:val="006A0B36"/>
    <w:rsid w:val="006A2BE5"/>
    <w:rsid w:val="006A3EE5"/>
    <w:rsid w:val="006A5073"/>
    <w:rsid w:val="006A5923"/>
    <w:rsid w:val="006A6212"/>
    <w:rsid w:val="006A697A"/>
    <w:rsid w:val="006A6E13"/>
    <w:rsid w:val="006B06B5"/>
    <w:rsid w:val="006B1058"/>
    <w:rsid w:val="006B1228"/>
    <w:rsid w:val="006B480E"/>
    <w:rsid w:val="006B4D63"/>
    <w:rsid w:val="006B6065"/>
    <w:rsid w:val="006B651E"/>
    <w:rsid w:val="006B7396"/>
    <w:rsid w:val="006C0DB8"/>
    <w:rsid w:val="006C1E6E"/>
    <w:rsid w:val="006C1FB9"/>
    <w:rsid w:val="006C22C4"/>
    <w:rsid w:val="006C438E"/>
    <w:rsid w:val="006C5DE3"/>
    <w:rsid w:val="006C5E58"/>
    <w:rsid w:val="006D0196"/>
    <w:rsid w:val="006D02F3"/>
    <w:rsid w:val="006D2E75"/>
    <w:rsid w:val="006D31B5"/>
    <w:rsid w:val="006D4609"/>
    <w:rsid w:val="006D4A4E"/>
    <w:rsid w:val="006D6D53"/>
    <w:rsid w:val="006D7527"/>
    <w:rsid w:val="006E34E5"/>
    <w:rsid w:val="006E5F7C"/>
    <w:rsid w:val="006E63E9"/>
    <w:rsid w:val="006F1038"/>
    <w:rsid w:val="006F1F2C"/>
    <w:rsid w:val="006F299A"/>
    <w:rsid w:val="006F2DF0"/>
    <w:rsid w:val="006F334E"/>
    <w:rsid w:val="006F453E"/>
    <w:rsid w:val="006F535D"/>
    <w:rsid w:val="006F5BF5"/>
    <w:rsid w:val="006F6247"/>
    <w:rsid w:val="006F672B"/>
    <w:rsid w:val="006F71C5"/>
    <w:rsid w:val="006F7406"/>
    <w:rsid w:val="006F7AAD"/>
    <w:rsid w:val="006F7DB8"/>
    <w:rsid w:val="007003FF"/>
    <w:rsid w:val="0070047E"/>
    <w:rsid w:val="007018E9"/>
    <w:rsid w:val="00701A52"/>
    <w:rsid w:val="00701AA8"/>
    <w:rsid w:val="00704113"/>
    <w:rsid w:val="00704F3F"/>
    <w:rsid w:val="00705542"/>
    <w:rsid w:val="00706126"/>
    <w:rsid w:val="00707930"/>
    <w:rsid w:val="00707DD4"/>
    <w:rsid w:val="00713166"/>
    <w:rsid w:val="00713C93"/>
    <w:rsid w:val="00713DC9"/>
    <w:rsid w:val="00716173"/>
    <w:rsid w:val="00720522"/>
    <w:rsid w:val="00722961"/>
    <w:rsid w:val="00722C55"/>
    <w:rsid w:val="00723F5F"/>
    <w:rsid w:val="007254C8"/>
    <w:rsid w:val="007266B7"/>
    <w:rsid w:val="007318CE"/>
    <w:rsid w:val="00734C21"/>
    <w:rsid w:val="007354F4"/>
    <w:rsid w:val="007357A5"/>
    <w:rsid w:val="00735A4A"/>
    <w:rsid w:val="00740BE8"/>
    <w:rsid w:val="007417E5"/>
    <w:rsid w:val="00743CFE"/>
    <w:rsid w:val="007441C6"/>
    <w:rsid w:val="007469D0"/>
    <w:rsid w:val="00747686"/>
    <w:rsid w:val="00747CED"/>
    <w:rsid w:val="00747EF7"/>
    <w:rsid w:val="0075058C"/>
    <w:rsid w:val="00750752"/>
    <w:rsid w:val="0075191C"/>
    <w:rsid w:val="00753949"/>
    <w:rsid w:val="00754335"/>
    <w:rsid w:val="00754726"/>
    <w:rsid w:val="007548C6"/>
    <w:rsid w:val="0075492F"/>
    <w:rsid w:val="00755513"/>
    <w:rsid w:val="00756171"/>
    <w:rsid w:val="007566DD"/>
    <w:rsid w:val="00757D81"/>
    <w:rsid w:val="00760E09"/>
    <w:rsid w:val="007616E9"/>
    <w:rsid w:val="00763089"/>
    <w:rsid w:val="007645B5"/>
    <w:rsid w:val="007649E4"/>
    <w:rsid w:val="00765625"/>
    <w:rsid w:val="00765B64"/>
    <w:rsid w:val="007671FD"/>
    <w:rsid w:val="00767A91"/>
    <w:rsid w:val="007715C2"/>
    <w:rsid w:val="00771BF9"/>
    <w:rsid w:val="00772CC6"/>
    <w:rsid w:val="007741D5"/>
    <w:rsid w:val="00774D7E"/>
    <w:rsid w:val="00774E75"/>
    <w:rsid w:val="00777A46"/>
    <w:rsid w:val="007810B9"/>
    <w:rsid w:val="007820E5"/>
    <w:rsid w:val="007845AA"/>
    <w:rsid w:val="007852A2"/>
    <w:rsid w:val="007861CF"/>
    <w:rsid w:val="007904EE"/>
    <w:rsid w:val="00792A8F"/>
    <w:rsid w:val="007930AF"/>
    <w:rsid w:val="007932F1"/>
    <w:rsid w:val="007955A2"/>
    <w:rsid w:val="007964FD"/>
    <w:rsid w:val="0079680F"/>
    <w:rsid w:val="00796896"/>
    <w:rsid w:val="007975CC"/>
    <w:rsid w:val="007A0273"/>
    <w:rsid w:val="007A5F65"/>
    <w:rsid w:val="007B419B"/>
    <w:rsid w:val="007B4560"/>
    <w:rsid w:val="007B4672"/>
    <w:rsid w:val="007B5955"/>
    <w:rsid w:val="007B6927"/>
    <w:rsid w:val="007B6B9F"/>
    <w:rsid w:val="007C04C9"/>
    <w:rsid w:val="007C08E1"/>
    <w:rsid w:val="007C112D"/>
    <w:rsid w:val="007C1D6B"/>
    <w:rsid w:val="007C1E25"/>
    <w:rsid w:val="007C4166"/>
    <w:rsid w:val="007C56B7"/>
    <w:rsid w:val="007C752E"/>
    <w:rsid w:val="007D034D"/>
    <w:rsid w:val="007D1438"/>
    <w:rsid w:val="007D169A"/>
    <w:rsid w:val="007D1D68"/>
    <w:rsid w:val="007D2B07"/>
    <w:rsid w:val="007D2FD9"/>
    <w:rsid w:val="007D371B"/>
    <w:rsid w:val="007D6A85"/>
    <w:rsid w:val="007D6B60"/>
    <w:rsid w:val="007E149E"/>
    <w:rsid w:val="007E1591"/>
    <w:rsid w:val="007E2D87"/>
    <w:rsid w:val="007E3388"/>
    <w:rsid w:val="007E33BC"/>
    <w:rsid w:val="007E3A85"/>
    <w:rsid w:val="007E48CA"/>
    <w:rsid w:val="007E6D20"/>
    <w:rsid w:val="007E6EF8"/>
    <w:rsid w:val="007E6F0B"/>
    <w:rsid w:val="007E7BF5"/>
    <w:rsid w:val="007F041C"/>
    <w:rsid w:val="007F1BA3"/>
    <w:rsid w:val="007F23FB"/>
    <w:rsid w:val="007F2FD3"/>
    <w:rsid w:val="007F716E"/>
    <w:rsid w:val="00800B80"/>
    <w:rsid w:val="008034F9"/>
    <w:rsid w:val="008044CA"/>
    <w:rsid w:val="008047E6"/>
    <w:rsid w:val="00805D3C"/>
    <w:rsid w:val="00805E66"/>
    <w:rsid w:val="00810FED"/>
    <w:rsid w:val="00811C0B"/>
    <w:rsid w:val="00812B6B"/>
    <w:rsid w:val="0081575C"/>
    <w:rsid w:val="00816538"/>
    <w:rsid w:val="0081720C"/>
    <w:rsid w:val="00817E43"/>
    <w:rsid w:val="00820321"/>
    <w:rsid w:val="0082334E"/>
    <w:rsid w:val="008247F0"/>
    <w:rsid w:val="00824955"/>
    <w:rsid w:val="00824D7C"/>
    <w:rsid w:val="0082658C"/>
    <w:rsid w:val="0082696B"/>
    <w:rsid w:val="00826CAB"/>
    <w:rsid w:val="00826F90"/>
    <w:rsid w:val="0082774F"/>
    <w:rsid w:val="00827784"/>
    <w:rsid w:val="0083112E"/>
    <w:rsid w:val="00832D03"/>
    <w:rsid w:val="0083662A"/>
    <w:rsid w:val="00836801"/>
    <w:rsid w:val="008373A9"/>
    <w:rsid w:val="00840629"/>
    <w:rsid w:val="00841FB9"/>
    <w:rsid w:val="00842FC6"/>
    <w:rsid w:val="00844AC4"/>
    <w:rsid w:val="00845AC7"/>
    <w:rsid w:val="00850458"/>
    <w:rsid w:val="008506EA"/>
    <w:rsid w:val="0085186E"/>
    <w:rsid w:val="00851C3A"/>
    <w:rsid w:val="00852B33"/>
    <w:rsid w:val="008553A8"/>
    <w:rsid w:val="00856003"/>
    <w:rsid w:val="008567D1"/>
    <w:rsid w:val="0085783B"/>
    <w:rsid w:val="00860064"/>
    <w:rsid w:val="008600F1"/>
    <w:rsid w:val="0086134B"/>
    <w:rsid w:val="00861BA0"/>
    <w:rsid w:val="00862788"/>
    <w:rsid w:val="00862A7B"/>
    <w:rsid w:val="00862CBB"/>
    <w:rsid w:val="008638FF"/>
    <w:rsid w:val="0086471A"/>
    <w:rsid w:val="00864F93"/>
    <w:rsid w:val="008657F6"/>
    <w:rsid w:val="008665B7"/>
    <w:rsid w:val="008705B9"/>
    <w:rsid w:val="0087112A"/>
    <w:rsid w:val="00871E81"/>
    <w:rsid w:val="00872D54"/>
    <w:rsid w:val="00874C27"/>
    <w:rsid w:val="0087502D"/>
    <w:rsid w:val="00875EBD"/>
    <w:rsid w:val="0087714D"/>
    <w:rsid w:val="00877C77"/>
    <w:rsid w:val="00880AD9"/>
    <w:rsid w:val="0088103A"/>
    <w:rsid w:val="00881E0B"/>
    <w:rsid w:val="00883B71"/>
    <w:rsid w:val="00884031"/>
    <w:rsid w:val="008841C4"/>
    <w:rsid w:val="00884C0B"/>
    <w:rsid w:val="00885479"/>
    <w:rsid w:val="00885934"/>
    <w:rsid w:val="00886E81"/>
    <w:rsid w:val="00892F02"/>
    <w:rsid w:val="0089314F"/>
    <w:rsid w:val="0089433C"/>
    <w:rsid w:val="00894B43"/>
    <w:rsid w:val="00894C36"/>
    <w:rsid w:val="008957FB"/>
    <w:rsid w:val="00895AA8"/>
    <w:rsid w:val="008963EF"/>
    <w:rsid w:val="0089670F"/>
    <w:rsid w:val="00897FE9"/>
    <w:rsid w:val="008A0FB7"/>
    <w:rsid w:val="008A1483"/>
    <w:rsid w:val="008A29E3"/>
    <w:rsid w:val="008A3AEA"/>
    <w:rsid w:val="008A3DF0"/>
    <w:rsid w:val="008A408A"/>
    <w:rsid w:val="008B0471"/>
    <w:rsid w:val="008B0DBE"/>
    <w:rsid w:val="008B12E2"/>
    <w:rsid w:val="008B2B12"/>
    <w:rsid w:val="008B2DC7"/>
    <w:rsid w:val="008B2E03"/>
    <w:rsid w:val="008B3FC1"/>
    <w:rsid w:val="008B61AF"/>
    <w:rsid w:val="008B7D75"/>
    <w:rsid w:val="008C02EB"/>
    <w:rsid w:val="008C0536"/>
    <w:rsid w:val="008C0764"/>
    <w:rsid w:val="008C334D"/>
    <w:rsid w:val="008C612C"/>
    <w:rsid w:val="008C7CA7"/>
    <w:rsid w:val="008D06DE"/>
    <w:rsid w:val="008D085C"/>
    <w:rsid w:val="008D0B43"/>
    <w:rsid w:val="008D2F1A"/>
    <w:rsid w:val="008D3FC0"/>
    <w:rsid w:val="008D44CB"/>
    <w:rsid w:val="008D6D7B"/>
    <w:rsid w:val="008D7016"/>
    <w:rsid w:val="008D75F0"/>
    <w:rsid w:val="008E0183"/>
    <w:rsid w:val="008E04BB"/>
    <w:rsid w:val="008E341D"/>
    <w:rsid w:val="008E3C9B"/>
    <w:rsid w:val="008E41A6"/>
    <w:rsid w:val="008E71E3"/>
    <w:rsid w:val="008E728E"/>
    <w:rsid w:val="008F1B21"/>
    <w:rsid w:val="008F1DBC"/>
    <w:rsid w:val="008F48FD"/>
    <w:rsid w:val="008F6357"/>
    <w:rsid w:val="008F68B6"/>
    <w:rsid w:val="008F6A30"/>
    <w:rsid w:val="0090032B"/>
    <w:rsid w:val="00900AD6"/>
    <w:rsid w:val="00901B01"/>
    <w:rsid w:val="00904DAC"/>
    <w:rsid w:val="0090577C"/>
    <w:rsid w:val="00906B08"/>
    <w:rsid w:val="00907851"/>
    <w:rsid w:val="009100B8"/>
    <w:rsid w:val="009106CA"/>
    <w:rsid w:val="009108BA"/>
    <w:rsid w:val="009111A7"/>
    <w:rsid w:val="00912173"/>
    <w:rsid w:val="0091237B"/>
    <w:rsid w:val="0091258F"/>
    <w:rsid w:val="0091266D"/>
    <w:rsid w:val="009150CC"/>
    <w:rsid w:val="009156A2"/>
    <w:rsid w:val="00916592"/>
    <w:rsid w:val="009179F6"/>
    <w:rsid w:val="009201AB"/>
    <w:rsid w:val="00920CF7"/>
    <w:rsid w:val="0092135D"/>
    <w:rsid w:val="009229BA"/>
    <w:rsid w:val="00924603"/>
    <w:rsid w:val="00924A87"/>
    <w:rsid w:val="00924F4E"/>
    <w:rsid w:val="00925CCD"/>
    <w:rsid w:val="00926016"/>
    <w:rsid w:val="009264BF"/>
    <w:rsid w:val="009268A1"/>
    <w:rsid w:val="00926EFF"/>
    <w:rsid w:val="009276B5"/>
    <w:rsid w:val="0092772F"/>
    <w:rsid w:val="00931868"/>
    <w:rsid w:val="0093252A"/>
    <w:rsid w:val="00932D93"/>
    <w:rsid w:val="00932F7C"/>
    <w:rsid w:val="009331A1"/>
    <w:rsid w:val="00933BF8"/>
    <w:rsid w:val="0093460B"/>
    <w:rsid w:val="00935544"/>
    <w:rsid w:val="00935A44"/>
    <w:rsid w:val="00940245"/>
    <w:rsid w:val="00940646"/>
    <w:rsid w:val="00942241"/>
    <w:rsid w:val="009424C6"/>
    <w:rsid w:val="00943D62"/>
    <w:rsid w:val="00944359"/>
    <w:rsid w:val="009456BE"/>
    <w:rsid w:val="00945EEA"/>
    <w:rsid w:val="00946598"/>
    <w:rsid w:val="009466BA"/>
    <w:rsid w:val="00946E3D"/>
    <w:rsid w:val="009476EF"/>
    <w:rsid w:val="00950610"/>
    <w:rsid w:val="009512D4"/>
    <w:rsid w:val="0095250E"/>
    <w:rsid w:val="009527F9"/>
    <w:rsid w:val="00953628"/>
    <w:rsid w:val="00953755"/>
    <w:rsid w:val="00954C84"/>
    <w:rsid w:val="00954E73"/>
    <w:rsid w:val="0095553F"/>
    <w:rsid w:val="00955B52"/>
    <w:rsid w:val="00955C13"/>
    <w:rsid w:val="00956D4F"/>
    <w:rsid w:val="00957A77"/>
    <w:rsid w:val="00960CCD"/>
    <w:rsid w:val="00962656"/>
    <w:rsid w:val="009627E3"/>
    <w:rsid w:val="00962E4E"/>
    <w:rsid w:val="00964369"/>
    <w:rsid w:val="009647BF"/>
    <w:rsid w:val="009662E1"/>
    <w:rsid w:val="009675E1"/>
    <w:rsid w:val="009705BF"/>
    <w:rsid w:val="00970E1D"/>
    <w:rsid w:val="00973FB1"/>
    <w:rsid w:val="009743C1"/>
    <w:rsid w:val="00975576"/>
    <w:rsid w:val="00981233"/>
    <w:rsid w:val="0098266C"/>
    <w:rsid w:val="00983E74"/>
    <w:rsid w:val="0098591F"/>
    <w:rsid w:val="00987403"/>
    <w:rsid w:val="00987499"/>
    <w:rsid w:val="00992213"/>
    <w:rsid w:val="00992BA6"/>
    <w:rsid w:val="00995DF9"/>
    <w:rsid w:val="009960E2"/>
    <w:rsid w:val="00997FB1"/>
    <w:rsid w:val="009A2890"/>
    <w:rsid w:val="009A349B"/>
    <w:rsid w:val="009A4268"/>
    <w:rsid w:val="009A5804"/>
    <w:rsid w:val="009A638F"/>
    <w:rsid w:val="009A6B89"/>
    <w:rsid w:val="009A796E"/>
    <w:rsid w:val="009B14F3"/>
    <w:rsid w:val="009B24F5"/>
    <w:rsid w:val="009B415A"/>
    <w:rsid w:val="009B5A26"/>
    <w:rsid w:val="009B6E19"/>
    <w:rsid w:val="009C007D"/>
    <w:rsid w:val="009C3A79"/>
    <w:rsid w:val="009C605B"/>
    <w:rsid w:val="009D020E"/>
    <w:rsid w:val="009D0589"/>
    <w:rsid w:val="009D05BF"/>
    <w:rsid w:val="009D37A3"/>
    <w:rsid w:val="009D3D5A"/>
    <w:rsid w:val="009D3F27"/>
    <w:rsid w:val="009D479B"/>
    <w:rsid w:val="009D5921"/>
    <w:rsid w:val="009D6BE5"/>
    <w:rsid w:val="009D7B21"/>
    <w:rsid w:val="009E2418"/>
    <w:rsid w:val="009E2885"/>
    <w:rsid w:val="009E28FB"/>
    <w:rsid w:val="009E414A"/>
    <w:rsid w:val="009E56A3"/>
    <w:rsid w:val="009E7C4C"/>
    <w:rsid w:val="009F07FE"/>
    <w:rsid w:val="009F0AA6"/>
    <w:rsid w:val="009F0C69"/>
    <w:rsid w:val="009F1904"/>
    <w:rsid w:val="009F3378"/>
    <w:rsid w:val="009F6DC2"/>
    <w:rsid w:val="009F791E"/>
    <w:rsid w:val="009F7946"/>
    <w:rsid w:val="00A004F3"/>
    <w:rsid w:val="00A02CD9"/>
    <w:rsid w:val="00A03B55"/>
    <w:rsid w:val="00A03F04"/>
    <w:rsid w:val="00A03FFB"/>
    <w:rsid w:val="00A059D4"/>
    <w:rsid w:val="00A05DD5"/>
    <w:rsid w:val="00A07EE6"/>
    <w:rsid w:val="00A1201A"/>
    <w:rsid w:val="00A1693D"/>
    <w:rsid w:val="00A16A63"/>
    <w:rsid w:val="00A16F41"/>
    <w:rsid w:val="00A20163"/>
    <w:rsid w:val="00A20E85"/>
    <w:rsid w:val="00A2253A"/>
    <w:rsid w:val="00A251A0"/>
    <w:rsid w:val="00A25B95"/>
    <w:rsid w:val="00A35117"/>
    <w:rsid w:val="00A35451"/>
    <w:rsid w:val="00A35CBF"/>
    <w:rsid w:val="00A40806"/>
    <w:rsid w:val="00A42AD8"/>
    <w:rsid w:val="00A43D08"/>
    <w:rsid w:val="00A44355"/>
    <w:rsid w:val="00A502A2"/>
    <w:rsid w:val="00A50750"/>
    <w:rsid w:val="00A50977"/>
    <w:rsid w:val="00A50CDA"/>
    <w:rsid w:val="00A524EE"/>
    <w:rsid w:val="00A52648"/>
    <w:rsid w:val="00A533DA"/>
    <w:rsid w:val="00A53A93"/>
    <w:rsid w:val="00A56ED0"/>
    <w:rsid w:val="00A61A9C"/>
    <w:rsid w:val="00A650AE"/>
    <w:rsid w:val="00A655D6"/>
    <w:rsid w:val="00A6683E"/>
    <w:rsid w:val="00A66BF9"/>
    <w:rsid w:val="00A66EE1"/>
    <w:rsid w:val="00A7169E"/>
    <w:rsid w:val="00A722F6"/>
    <w:rsid w:val="00A72A08"/>
    <w:rsid w:val="00A72BF6"/>
    <w:rsid w:val="00A737C9"/>
    <w:rsid w:val="00A73CA8"/>
    <w:rsid w:val="00A74ED5"/>
    <w:rsid w:val="00A75594"/>
    <w:rsid w:val="00A76507"/>
    <w:rsid w:val="00A7660F"/>
    <w:rsid w:val="00A77CEF"/>
    <w:rsid w:val="00A81018"/>
    <w:rsid w:val="00A81F4A"/>
    <w:rsid w:val="00A821C9"/>
    <w:rsid w:val="00A83201"/>
    <w:rsid w:val="00A90A96"/>
    <w:rsid w:val="00A921AD"/>
    <w:rsid w:val="00A92A04"/>
    <w:rsid w:val="00A9316D"/>
    <w:rsid w:val="00A946D6"/>
    <w:rsid w:val="00A94D61"/>
    <w:rsid w:val="00A9521F"/>
    <w:rsid w:val="00A95503"/>
    <w:rsid w:val="00A96300"/>
    <w:rsid w:val="00A974D8"/>
    <w:rsid w:val="00A97798"/>
    <w:rsid w:val="00A977B0"/>
    <w:rsid w:val="00A9783C"/>
    <w:rsid w:val="00AA2C97"/>
    <w:rsid w:val="00AA39AD"/>
    <w:rsid w:val="00AA3FD5"/>
    <w:rsid w:val="00AA4E08"/>
    <w:rsid w:val="00AA700F"/>
    <w:rsid w:val="00AA75AC"/>
    <w:rsid w:val="00AB0B5D"/>
    <w:rsid w:val="00AB1CA3"/>
    <w:rsid w:val="00AB3A7A"/>
    <w:rsid w:val="00AB40C1"/>
    <w:rsid w:val="00AB4193"/>
    <w:rsid w:val="00AB4494"/>
    <w:rsid w:val="00AB47F2"/>
    <w:rsid w:val="00AB52B3"/>
    <w:rsid w:val="00AB554C"/>
    <w:rsid w:val="00AB5D2D"/>
    <w:rsid w:val="00AB63EF"/>
    <w:rsid w:val="00AC008D"/>
    <w:rsid w:val="00AC167C"/>
    <w:rsid w:val="00AC25DF"/>
    <w:rsid w:val="00AC281A"/>
    <w:rsid w:val="00AC2C3C"/>
    <w:rsid w:val="00AC3DBA"/>
    <w:rsid w:val="00AC50A8"/>
    <w:rsid w:val="00AC537E"/>
    <w:rsid w:val="00AD0B89"/>
    <w:rsid w:val="00AD2116"/>
    <w:rsid w:val="00AD236C"/>
    <w:rsid w:val="00AD484C"/>
    <w:rsid w:val="00AD4C30"/>
    <w:rsid w:val="00AD54AA"/>
    <w:rsid w:val="00AD778A"/>
    <w:rsid w:val="00AD7C21"/>
    <w:rsid w:val="00AE0400"/>
    <w:rsid w:val="00AE09B1"/>
    <w:rsid w:val="00AE1A48"/>
    <w:rsid w:val="00AE1F7F"/>
    <w:rsid w:val="00AE498D"/>
    <w:rsid w:val="00AE4F34"/>
    <w:rsid w:val="00AE5CEA"/>
    <w:rsid w:val="00AE5DD3"/>
    <w:rsid w:val="00AF0F7B"/>
    <w:rsid w:val="00AF1D70"/>
    <w:rsid w:val="00AF1FA8"/>
    <w:rsid w:val="00AF1FED"/>
    <w:rsid w:val="00AF29C6"/>
    <w:rsid w:val="00AF4FF4"/>
    <w:rsid w:val="00AF5D05"/>
    <w:rsid w:val="00AF6321"/>
    <w:rsid w:val="00AF65AD"/>
    <w:rsid w:val="00AF669F"/>
    <w:rsid w:val="00B00D94"/>
    <w:rsid w:val="00B02096"/>
    <w:rsid w:val="00B054C1"/>
    <w:rsid w:val="00B05CB3"/>
    <w:rsid w:val="00B05D79"/>
    <w:rsid w:val="00B0651C"/>
    <w:rsid w:val="00B07202"/>
    <w:rsid w:val="00B14850"/>
    <w:rsid w:val="00B17006"/>
    <w:rsid w:val="00B1716A"/>
    <w:rsid w:val="00B208A3"/>
    <w:rsid w:val="00B20BBF"/>
    <w:rsid w:val="00B23891"/>
    <w:rsid w:val="00B24164"/>
    <w:rsid w:val="00B244FD"/>
    <w:rsid w:val="00B24B87"/>
    <w:rsid w:val="00B254ED"/>
    <w:rsid w:val="00B257F3"/>
    <w:rsid w:val="00B25D7A"/>
    <w:rsid w:val="00B3157C"/>
    <w:rsid w:val="00B3178B"/>
    <w:rsid w:val="00B31FC3"/>
    <w:rsid w:val="00B3266C"/>
    <w:rsid w:val="00B33584"/>
    <w:rsid w:val="00B36416"/>
    <w:rsid w:val="00B41A4A"/>
    <w:rsid w:val="00B42BDF"/>
    <w:rsid w:val="00B433D9"/>
    <w:rsid w:val="00B44367"/>
    <w:rsid w:val="00B4588D"/>
    <w:rsid w:val="00B51CFE"/>
    <w:rsid w:val="00B547A9"/>
    <w:rsid w:val="00B55B6F"/>
    <w:rsid w:val="00B56720"/>
    <w:rsid w:val="00B56EA5"/>
    <w:rsid w:val="00B57075"/>
    <w:rsid w:val="00B577A8"/>
    <w:rsid w:val="00B60A5F"/>
    <w:rsid w:val="00B61BDA"/>
    <w:rsid w:val="00B61DDA"/>
    <w:rsid w:val="00B62059"/>
    <w:rsid w:val="00B62687"/>
    <w:rsid w:val="00B62A21"/>
    <w:rsid w:val="00B630D1"/>
    <w:rsid w:val="00B63209"/>
    <w:rsid w:val="00B63C51"/>
    <w:rsid w:val="00B64749"/>
    <w:rsid w:val="00B64F40"/>
    <w:rsid w:val="00B6689F"/>
    <w:rsid w:val="00B678FA"/>
    <w:rsid w:val="00B705B1"/>
    <w:rsid w:val="00B713E6"/>
    <w:rsid w:val="00B72026"/>
    <w:rsid w:val="00B76C91"/>
    <w:rsid w:val="00B8133A"/>
    <w:rsid w:val="00B8245A"/>
    <w:rsid w:val="00B83EB8"/>
    <w:rsid w:val="00B84ABA"/>
    <w:rsid w:val="00B84F0C"/>
    <w:rsid w:val="00B87210"/>
    <w:rsid w:val="00B87B3C"/>
    <w:rsid w:val="00B916D9"/>
    <w:rsid w:val="00B917F1"/>
    <w:rsid w:val="00B93936"/>
    <w:rsid w:val="00B93E29"/>
    <w:rsid w:val="00B942CE"/>
    <w:rsid w:val="00B959A7"/>
    <w:rsid w:val="00B96079"/>
    <w:rsid w:val="00B9789B"/>
    <w:rsid w:val="00BA0117"/>
    <w:rsid w:val="00BA1C58"/>
    <w:rsid w:val="00BA2621"/>
    <w:rsid w:val="00BA27DF"/>
    <w:rsid w:val="00BA28EE"/>
    <w:rsid w:val="00BA4702"/>
    <w:rsid w:val="00BA48CE"/>
    <w:rsid w:val="00BA524C"/>
    <w:rsid w:val="00BA652B"/>
    <w:rsid w:val="00BA6C43"/>
    <w:rsid w:val="00BB331B"/>
    <w:rsid w:val="00BB4A0E"/>
    <w:rsid w:val="00BB64D2"/>
    <w:rsid w:val="00BB6E39"/>
    <w:rsid w:val="00BC012B"/>
    <w:rsid w:val="00BC018F"/>
    <w:rsid w:val="00BC332A"/>
    <w:rsid w:val="00BC3372"/>
    <w:rsid w:val="00BC4360"/>
    <w:rsid w:val="00BC4912"/>
    <w:rsid w:val="00BC7024"/>
    <w:rsid w:val="00BC785A"/>
    <w:rsid w:val="00BD1A27"/>
    <w:rsid w:val="00BD22A3"/>
    <w:rsid w:val="00BD24F9"/>
    <w:rsid w:val="00BD3F93"/>
    <w:rsid w:val="00BD4145"/>
    <w:rsid w:val="00BD4B53"/>
    <w:rsid w:val="00BD5572"/>
    <w:rsid w:val="00BD68E8"/>
    <w:rsid w:val="00BE0E53"/>
    <w:rsid w:val="00BE11AD"/>
    <w:rsid w:val="00BE1584"/>
    <w:rsid w:val="00BE22EC"/>
    <w:rsid w:val="00BE2E95"/>
    <w:rsid w:val="00BE3A60"/>
    <w:rsid w:val="00BE6986"/>
    <w:rsid w:val="00BE6F42"/>
    <w:rsid w:val="00BE7E9D"/>
    <w:rsid w:val="00BF07C2"/>
    <w:rsid w:val="00BF1247"/>
    <w:rsid w:val="00BF2466"/>
    <w:rsid w:val="00C00683"/>
    <w:rsid w:val="00C00BD0"/>
    <w:rsid w:val="00C018C8"/>
    <w:rsid w:val="00C01B88"/>
    <w:rsid w:val="00C043F0"/>
    <w:rsid w:val="00C04402"/>
    <w:rsid w:val="00C04824"/>
    <w:rsid w:val="00C0560E"/>
    <w:rsid w:val="00C0616F"/>
    <w:rsid w:val="00C065A6"/>
    <w:rsid w:val="00C0692A"/>
    <w:rsid w:val="00C06ED1"/>
    <w:rsid w:val="00C0747B"/>
    <w:rsid w:val="00C07CD6"/>
    <w:rsid w:val="00C10B6B"/>
    <w:rsid w:val="00C156AD"/>
    <w:rsid w:val="00C169D5"/>
    <w:rsid w:val="00C178DF"/>
    <w:rsid w:val="00C208B9"/>
    <w:rsid w:val="00C20FA8"/>
    <w:rsid w:val="00C2195E"/>
    <w:rsid w:val="00C21C26"/>
    <w:rsid w:val="00C22204"/>
    <w:rsid w:val="00C22B62"/>
    <w:rsid w:val="00C26944"/>
    <w:rsid w:val="00C3087A"/>
    <w:rsid w:val="00C31462"/>
    <w:rsid w:val="00C32C2B"/>
    <w:rsid w:val="00C3300A"/>
    <w:rsid w:val="00C33BF7"/>
    <w:rsid w:val="00C340D3"/>
    <w:rsid w:val="00C3418F"/>
    <w:rsid w:val="00C34AC1"/>
    <w:rsid w:val="00C34C21"/>
    <w:rsid w:val="00C36FF6"/>
    <w:rsid w:val="00C371BF"/>
    <w:rsid w:val="00C37909"/>
    <w:rsid w:val="00C40F3D"/>
    <w:rsid w:val="00C41BE2"/>
    <w:rsid w:val="00C4216D"/>
    <w:rsid w:val="00C440CD"/>
    <w:rsid w:val="00C44781"/>
    <w:rsid w:val="00C45CE2"/>
    <w:rsid w:val="00C46104"/>
    <w:rsid w:val="00C479C6"/>
    <w:rsid w:val="00C47ACB"/>
    <w:rsid w:val="00C47D28"/>
    <w:rsid w:val="00C50654"/>
    <w:rsid w:val="00C5079C"/>
    <w:rsid w:val="00C50BE9"/>
    <w:rsid w:val="00C53072"/>
    <w:rsid w:val="00C54CA8"/>
    <w:rsid w:val="00C561B2"/>
    <w:rsid w:val="00C57939"/>
    <w:rsid w:val="00C600FE"/>
    <w:rsid w:val="00C61B6B"/>
    <w:rsid w:val="00C61F7B"/>
    <w:rsid w:val="00C6312C"/>
    <w:rsid w:val="00C631A3"/>
    <w:rsid w:val="00C6474B"/>
    <w:rsid w:val="00C64DB8"/>
    <w:rsid w:val="00C660EF"/>
    <w:rsid w:val="00C70CD4"/>
    <w:rsid w:val="00C71560"/>
    <w:rsid w:val="00C71F19"/>
    <w:rsid w:val="00C72832"/>
    <w:rsid w:val="00C7340C"/>
    <w:rsid w:val="00C740ED"/>
    <w:rsid w:val="00C760BE"/>
    <w:rsid w:val="00C779C1"/>
    <w:rsid w:val="00C81503"/>
    <w:rsid w:val="00C81A1D"/>
    <w:rsid w:val="00C82CEE"/>
    <w:rsid w:val="00C83CC9"/>
    <w:rsid w:val="00C8538D"/>
    <w:rsid w:val="00C87F57"/>
    <w:rsid w:val="00C908C5"/>
    <w:rsid w:val="00C90EF5"/>
    <w:rsid w:val="00C915C9"/>
    <w:rsid w:val="00C9262D"/>
    <w:rsid w:val="00C92A10"/>
    <w:rsid w:val="00C933BB"/>
    <w:rsid w:val="00C945FD"/>
    <w:rsid w:val="00C94605"/>
    <w:rsid w:val="00C957A9"/>
    <w:rsid w:val="00C96832"/>
    <w:rsid w:val="00C96A23"/>
    <w:rsid w:val="00C96F7C"/>
    <w:rsid w:val="00CA0FAE"/>
    <w:rsid w:val="00CA2672"/>
    <w:rsid w:val="00CA4B3A"/>
    <w:rsid w:val="00CA4E29"/>
    <w:rsid w:val="00CA55BA"/>
    <w:rsid w:val="00CA6628"/>
    <w:rsid w:val="00CA72AD"/>
    <w:rsid w:val="00CA7C09"/>
    <w:rsid w:val="00CB05BD"/>
    <w:rsid w:val="00CB0737"/>
    <w:rsid w:val="00CB2E12"/>
    <w:rsid w:val="00CB478C"/>
    <w:rsid w:val="00CB5EED"/>
    <w:rsid w:val="00CB71AB"/>
    <w:rsid w:val="00CC0019"/>
    <w:rsid w:val="00CC2FC0"/>
    <w:rsid w:val="00CC52FA"/>
    <w:rsid w:val="00CC56F8"/>
    <w:rsid w:val="00CC5D6C"/>
    <w:rsid w:val="00CC6ACD"/>
    <w:rsid w:val="00CC7F66"/>
    <w:rsid w:val="00CD0356"/>
    <w:rsid w:val="00CD0CA6"/>
    <w:rsid w:val="00CD1A62"/>
    <w:rsid w:val="00CD1D60"/>
    <w:rsid w:val="00CD2391"/>
    <w:rsid w:val="00CD38D1"/>
    <w:rsid w:val="00CD4916"/>
    <w:rsid w:val="00CD5002"/>
    <w:rsid w:val="00CD708D"/>
    <w:rsid w:val="00CE2658"/>
    <w:rsid w:val="00CE2D79"/>
    <w:rsid w:val="00CE2F1B"/>
    <w:rsid w:val="00CE449E"/>
    <w:rsid w:val="00CE5CAA"/>
    <w:rsid w:val="00CE64EA"/>
    <w:rsid w:val="00CE7404"/>
    <w:rsid w:val="00CF337C"/>
    <w:rsid w:val="00CF38FA"/>
    <w:rsid w:val="00CF433C"/>
    <w:rsid w:val="00CF7DCF"/>
    <w:rsid w:val="00D02F6A"/>
    <w:rsid w:val="00D0303F"/>
    <w:rsid w:val="00D05FEF"/>
    <w:rsid w:val="00D06783"/>
    <w:rsid w:val="00D06E07"/>
    <w:rsid w:val="00D10307"/>
    <w:rsid w:val="00D10968"/>
    <w:rsid w:val="00D11464"/>
    <w:rsid w:val="00D129CC"/>
    <w:rsid w:val="00D12A8B"/>
    <w:rsid w:val="00D12C92"/>
    <w:rsid w:val="00D15B4F"/>
    <w:rsid w:val="00D15BA4"/>
    <w:rsid w:val="00D17A7B"/>
    <w:rsid w:val="00D17B6D"/>
    <w:rsid w:val="00D20736"/>
    <w:rsid w:val="00D20B65"/>
    <w:rsid w:val="00D20E9B"/>
    <w:rsid w:val="00D23445"/>
    <w:rsid w:val="00D255D5"/>
    <w:rsid w:val="00D261C6"/>
    <w:rsid w:val="00D26C02"/>
    <w:rsid w:val="00D27929"/>
    <w:rsid w:val="00D30F87"/>
    <w:rsid w:val="00D31504"/>
    <w:rsid w:val="00D31C6A"/>
    <w:rsid w:val="00D34047"/>
    <w:rsid w:val="00D34E63"/>
    <w:rsid w:val="00D3539C"/>
    <w:rsid w:val="00D36055"/>
    <w:rsid w:val="00D36DA1"/>
    <w:rsid w:val="00D40A3A"/>
    <w:rsid w:val="00D41CE9"/>
    <w:rsid w:val="00D41E82"/>
    <w:rsid w:val="00D42646"/>
    <w:rsid w:val="00D42E3B"/>
    <w:rsid w:val="00D450D9"/>
    <w:rsid w:val="00D452FA"/>
    <w:rsid w:val="00D45DB3"/>
    <w:rsid w:val="00D45E59"/>
    <w:rsid w:val="00D45E6E"/>
    <w:rsid w:val="00D46036"/>
    <w:rsid w:val="00D46227"/>
    <w:rsid w:val="00D467AD"/>
    <w:rsid w:val="00D46C2E"/>
    <w:rsid w:val="00D46F79"/>
    <w:rsid w:val="00D51601"/>
    <w:rsid w:val="00D5211D"/>
    <w:rsid w:val="00D53970"/>
    <w:rsid w:val="00D53A6E"/>
    <w:rsid w:val="00D53AE8"/>
    <w:rsid w:val="00D5520C"/>
    <w:rsid w:val="00D558E9"/>
    <w:rsid w:val="00D561DD"/>
    <w:rsid w:val="00D56374"/>
    <w:rsid w:val="00D56965"/>
    <w:rsid w:val="00D57E21"/>
    <w:rsid w:val="00D60253"/>
    <w:rsid w:val="00D604F1"/>
    <w:rsid w:val="00D621B2"/>
    <w:rsid w:val="00D62B3B"/>
    <w:rsid w:val="00D62D7F"/>
    <w:rsid w:val="00D63B13"/>
    <w:rsid w:val="00D66608"/>
    <w:rsid w:val="00D8091E"/>
    <w:rsid w:val="00D838D0"/>
    <w:rsid w:val="00D840FB"/>
    <w:rsid w:val="00D87B71"/>
    <w:rsid w:val="00D87E07"/>
    <w:rsid w:val="00D87F6E"/>
    <w:rsid w:val="00D90F99"/>
    <w:rsid w:val="00D911B3"/>
    <w:rsid w:val="00D91200"/>
    <w:rsid w:val="00D936C7"/>
    <w:rsid w:val="00D94041"/>
    <w:rsid w:val="00D9436B"/>
    <w:rsid w:val="00D95F62"/>
    <w:rsid w:val="00D95F6B"/>
    <w:rsid w:val="00D96296"/>
    <w:rsid w:val="00D9798A"/>
    <w:rsid w:val="00D97DF3"/>
    <w:rsid w:val="00DA13E7"/>
    <w:rsid w:val="00DA3557"/>
    <w:rsid w:val="00DA3D90"/>
    <w:rsid w:val="00DA3DBF"/>
    <w:rsid w:val="00DA4C5D"/>
    <w:rsid w:val="00DA4C6C"/>
    <w:rsid w:val="00DA4FEF"/>
    <w:rsid w:val="00DA6F19"/>
    <w:rsid w:val="00DB00D4"/>
    <w:rsid w:val="00DB0862"/>
    <w:rsid w:val="00DB0BD4"/>
    <w:rsid w:val="00DB0E52"/>
    <w:rsid w:val="00DB2A25"/>
    <w:rsid w:val="00DB34EC"/>
    <w:rsid w:val="00DB371B"/>
    <w:rsid w:val="00DB6EE4"/>
    <w:rsid w:val="00DB78CC"/>
    <w:rsid w:val="00DC0935"/>
    <w:rsid w:val="00DC2529"/>
    <w:rsid w:val="00DC34BF"/>
    <w:rsid w:val="00DC3CDA"/>
    <w:rsid w:val="00DC3F6E"/>
    <w:rsid w:val="00DC5FC9"/>
    <w:rsid w:val="00DC62B1"/>
    <w:rsid w:val="00DC6833"/>
    <w:rsid w:val="00DC6932"/>
    <w:rsid w:val="00DD1985"/>
    <w:rsid w:val="00DD1F33"/>
    <w:rsid w:val="00DD3061"/>
    <w:rsid w:val="00DE0206"/>
    <w:rsid w:val="00DE05A4"/>
    <w:rsid w:val="00DE1377"/>
    <w:rsid w:val="00DE2290"/>
    <w:rsid w:val="00DE352E"/>
    <w:rsid w:val="00DE47F4"/>
    <w:rsid w:val="00DE5F90"/>
    <w:rsid w:val="00DE63FE"/>
    <w:rsid w:val="00DE74D2"/>
    <w:rsid w:val="00DE75FC"/>
    <w:rsid w:val="00DE7A16"/>
    <w:rsid w:val="00DF06DC"/>
    <w:rsid w:val="00DF1238"/>
    <w:rsid w:val="00DF250F"/>
    <w:rsid w:val="00DF318C"/>
    <w:rsid w:val="00DF4470"/>
    <w:rsid w:val="00DF74F1"/>
    <w:rsid w:val="00DF7B0C"/>
    <w:rsid w:val="00DF7C6A"/>
    <w:rsid w:val="00E01614"/>
    <w:rsid w:val="00E0241E"/>
    <w:rsid w:val="00E03419"/>
    <w:rsid w:val="00E050A9"/>
    <w:rsid w:val="00E056B1"/>
    <w:rsid w:val="00E063AD"/>
    <w:rsid w:val="00E068AF"/>
    <w:rsid w:val="00E07E35"/>
    <w:rsid w:val="00E11E1D"/>
    <w:rsid w:val="00E12B5A"/>
    <w:rsid w:val="00E14783"/>
    <w:rsid w:val="00E148B5"/>
    <w:rsid w:val="00E16121"/>
    <w:rsid w:val="00E21671"/>
    <w:rsid w:val="00E21CBE"/>
    <w:rsid w:val="00E22320"/>
    <w:rsid w:val="00E24CB5"/>
    <w:rsid w:val="00E24EB7"/>
    <w:rsid w:val="00E261AF"/>
    <w:rsid w:val="00E2695F"/>
    <w:rsid w:val="00E31B50"/>
    <w:rsid w:val="00E32674"/>
    <w:rsid w:val="00E32C4F"/>
    <w:rsid w:val="00E33E4D"/>
    <w:rsid w:val="00E363C0"/>
    <w:rsid w:val="00E3797D"/>
    <w:rsid w:val="00E40243"/>
    <w:rsid w:val="00E40D6F"/>
    <w:rsid w:val="00E41701"/>
    <w:rsid w:val="00E42DC8"/>
    <w:rsid w:val="00E4586D"/>
    <w:rsid w:val="00E477F3"/>
    <w:rsid w:val="00E5159C"/>
    <w:rsid w:val="00E52F6C"/>
    <w:rsid w:val="00E53496"/>
    <w:rsid w:val="00E53E1A"/>
    <w:rsid w:val="00E54418"/>
    <w:rsid w:val="00E5479B"/>
    <w:rsid w:val="00E54D3A"/>
    <w:rsid w:val="00E54FAA"/>
    <w:rsid w:val="00E5549D"/>
    <w:rsid w:val="00E56129"/>
    <w:rsid w:val="00E5621E"/>
    <w:rsid w:val="00E60903"/>
    <w:rsid w:val="00E61ED0"/>
    <w:rsid w:val="00E65B28"/>
    <w:rsid w:val="00E70A95"/>
    <w:rsid w:val="00E71E4E"/>
    <w:rsid w:val="00E73493"/>
    <w:rsid w:val="00E763E6"/>
    <w:rsid w:val="00E76D0E"/>
    <w:rsid w:val="00E76EF6"/>
    <w:rsid w:val="00E77229"/>
    <w:rsid w:val="00E779F5"/>
    <w:rsid w:val="00E80CB3"/>
    <w:rsid w:val="00E80F68"/>
    <w:rsid w:val="00E83167"/>
    <w:rsid w:val="00E85A64"/>
    <w:rsid w:val="00E85DAE"/>
    <w:rsid w:val="00E87E49"/>
    <w:rsid w:val="00E90483"/>
    <w:rsid w:val="00E935C7"/>
    <w:rsid w:val="00E95F85"/>
    <w:rsid w:val="00E9622D"/>
    <w:rsid w:val="00E97D32"/>
    <w:rsid w:val="00EA0E95"/>
    <w:rsid w:val="00EA17F0"/>
    <w:rsid w:val="00EA2A3F"/>
    <w:rsid w:val="00EA2BEF"/>
    <w:rsid w:val="00EA2FB0"/>
    <w:rsid w:val="00EA4834"/>
    <w:rsid w:val="00EA5641"/>
    <w:rsid w:val="00EA5D54"/>
    <w:rsid w:val="00EA6340"/>
    <w:rsid w:val="00EB0B21"/>
    <w:rsid w:val="00EB1812"/>
    <w:rsid w:val="00EB23C0"/>
    <w:rsid w:val="00EB43FD"/>
    <w:rsid w:val="00EB580A"/>
    <w:rsid w:val="00EB5A94"/>
    <w:rsid w:val="00EC0938"/>
    <w:rsid w:val="00EC25C3"/>
    <w:rsid w:val="00EC2657"/>
    <w:rsid w:val="00EC35D6"/>
    <w:rsid w:val="00EC36F3"/>
    <w:rsid w:val="00EC490F"/>
    <w:rsid w:val="00EC69FD"/>
    <w:rsid w:val="00EC7A10"/>
    <w:rsid w:val="00ED1986"/>
    <w:rsid w:val="00ED2BE0"/>
    <w:rsid w:val="00ED3C8E"/>
    <w:rsid w:val="00ED4F16"/>
    <w:rsid w:val="00EE007D"/>
    <w:rsid w:val="00EE16A1"/>
    <w:rsid w:val="00EE1CD7"/>
    <w:rsid w:val="00EE1FC5"/>
    <w:rsid w:val="00EE2C3E"/>
    <w:rsid w:val="00EE2C45"/>
    <w:rsid w:val="00EE38D0"/>
    <w:rsid w:val="00EE4D14"/>
    <w:rsid w:val="00EE4EB5"/>
    <w:rsid w:val="00EE6130"/>
    <w:rsid w:val="00EE740E"/>
    <w:rsid w:val="00EF1180"/>
    <w:rsid w:val="00EF2880"/>
    <w:rsid w:val="00EF2963"/>
    <w:rsid w:val="00EF3043"/>
    <w:rsid w:val="00EF48E2"/>
    <w:rsid w:val="00EF52A8"/>
    <w:rsid w:val="00EF5727"/>
    <w:rsid w:val="00EF57BE"/>
    <w:rsid w:val="00EF5987"/>
    <w:rsid w:val="00EF7021"/>
    <w:rsid w:val="00F00285"/>
    <w:rsid w:val="00F0369F"/>
    <w:rsid w:val="00F03A1A"/>
    <w:rsid w:val="00F03B9E"/>
    <w:rsid w:val="00F04188"/>
    <w:rsid w:val="00F068C7"/>
    <w:rsid w:val="00F127B2"/>
    <w:rsid w:val="00F13C16"/>
    <w:rsid w:val="00F13E6B"/>
    <w:rsid w:val="00F14899"/>
    <w:rsid w:val="00F156BC"/>
    <w:rsid w:val="00F17919"/>
    <w:rsid w:val="00F23C7E"/>
    <w:rsid w:val="00F276E7"/>
    <w:rsid w:val="00F30E6D"/>
    <w:rsid w:val="00F31001"/>
    <w:rsid w:val="00F316E4"/>
    <w:rsid w:val="00F32DF1"/>
    <w:rsid w:val="00F33FC6"/>
    <w:rsid w:val="00F34C55"/>
    <w:rsid w:val="00F36575"/>
    <w:rsid w:val="00F36699"/>
    <w:rsid w:val="00F36BB1"/>
    <w:rsid w:val="00F413F1"/>
    <w:rsid w:val="00F42EEF"/>
    <w:rsid w:val="00F43FE4"/>
    <w:rsid w:val="00F440D0"/>
    <w:rsid w:val="00F44924"/>
    <w:rsid w:val="00F45936"/>
    <w:rsid w:val="00F45A58"/>
    <w:rsid w:val="00F4763E"/>
    <w:rsid w:val="00F50AAA"/>
    <w:rsid w:val="00F51DC2"/>
    <w:rsid w:val="00F5333D"/>
    <w:rsid w:val="00F53844"/>
    <w:rsid w:val="00F5598C"/>
    <w:rsid w:val="00F56441"/>
    <w:rsid w:val="00F568E6"/>
    <w:rsid w:val="00F5724F"/>
    <w:rsid w:val="00F62C20"/>
    <w:rsid w:val="00F63754"/>
    <w:rsid w:val="00F63B7B"/>
    <w:rsid w:val="00F641D3"/>
    <w:rsid w:val="00F6437E"/>
    <w:rsid w:val="00F6553B"/>
    <w:rsid w:val="00F67A21"/>
    <w:rsid w:val="00F70149"/>
    <w:rsid w:val="00F713F5"/>
    <w:rsid w:val="00F713F6"/>
    <w:rsid w:val="00F723C0"/>
    <w:rsid w:val="00F72E3D"/>
    <w:rsid w:val="00F72F89"/>
    <w:rsid w:val="00F73009"/>
    <w:rsid w:val="00F73316"/>
    <w:rsid w:val="00F73346"/>
    <w:rsid w:val="00F73BBF"/>
    <w:rsid w:val="00F758F8"/>
    <w:rsid w:val="00F759E1"/>
    <w:rsid w:val="00F75CAA"/>
    <w:rsid w:val="00F7643E"/>
    <w:rsid w:val="00F77345"/>
    <w:rsid w:val="00F774AD"/>
    <w:rsid w:val="00F77683"/>
    <w:rsid w:val="00F80463"/>
    <w:rsid w:val="00F817C1"/>
    <w:rsid w:val="00F82F3E"/>
    <w:rsid w:val="00F84747"/>
    <w:rsid w:val="00F85291"/>
    <w:rsid w:val="00F85439"/>
    <w:rsid w:val="00F8662E"/>
    <w:rsid w:val="00F86D9F"/>
    <w:rsid w:val="00F86E78"/>
    <w:rsid w:val="00F90659"/>
    <w:rsid w:val="00F9324D"/>
    <w:rsid w:val="00F9718D"/>
    <w:rsid w:val="00F9742D"/>
    <w:rsid w:val="00F97AC7"/>
    <w:rsid w:val="00FA4372"/>
    <w:rsid w:val="00FA494F"/>
    <w:rsid w:val="00FA5ADC"/>
    <w:rsid w:val="00FA7488"/>
    <w:rsid w:val="00FB04DF"/>
    <w:rsid w:val="00FB0B7B"/>
    <w:rsid w:val="00FB0E84"/>
    <w:rsid w:val="00FB117C"/>
    <w:rsid w:val="00FB1BF7"/>
    <w:rsid w:val="00FB4985"/>
    <w:rsid w:val="00FB5B38"/>
    <w:rsid w:val="00FB630A"/>
    <w:rsid w:val="00FB7181"/>
    <w:rsid w:val="00FB730B"/>
    <w:rsid w:val="00FC1889"/>
    <w:rsid w:val="00FC1FCB"/>
    <w:rsid w:val="00FC3028"/>
    <w:rsid w:val="00FC6826"/>
    <w:rsid w:val="00FD0552"/>
    <w:rsid w:val="00FD2E71"/>
    <w:rsid w:val="00FD34AA"/>
    <w:rsid w:val="00FD3AF7"/>
    <w:rsid w:val="00FD5ABB"/>
    <w:rsid w:val="00FD5CC5"/>
    <w:rsid w:val="00FD7B46"/>
    <w:rsid w:val="00FE2B34"/>
    <w:rsid w:val="00FE3C57"/>
    <w:rsid w:val="00FE3ED7"/>
    <w:rsid w:val="00FE5740"/>
    <w:rsid w:val="00FE604D"/>
    <w:rsid w:val="00FE6F8C"/>
    <w:rsid w:val="00FF0CEC"/>
    <w:rsid w:val="00FF136D"/>
    <w:rsid w:val="00FF175A"/>
    <w:rsid w:val="00FF1BDA"/>
    <w:rsid w:val="00FF224E"/>
    <w:rsid w:val="00FF4070"/>
    <w:rsid w:val="00FF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89"/>
    <w:pPr>
      <w:jc w:val="both"/>
    </w:pPr>
    <w:rPr>
      <w:rFonts w:ascii="Arial" w:hAnsi="Arial"/>
    </w:rPr>
  </w:style>
  <w:style w:type="paragraph" w:styleId="Heading1">
    <w:name w:val="heading 1"/>
    <w:basedOn w:val="Normal"/>
    <w:next w:val="Normal"/>
    <w:link w:val="Heading1Char"/>
    <w:uiPriority w:val="9"/>
    <w:qFormat/>
    <w:rsid w:val="000274ED"/>
    <w:pPr>
      <w:keepNext/>
      <w:keepLines/>
      <w:spacing w:before="360" w:after="0"/>
      <w:outlineLvl w:val="0"/>
    </w:pPr>
    <w:rPr>
      <w:rFonts w:asciiTheme="majorHAnsi" w:eastAsiaTheme="majorEastAsia" w:hAnsiTheme="majorHAnsi" w:cstheme="majorBidi"/>
      <w:b/>
      <w:bCs/>
      <w:color w:val="002060"/>
      <w:sz w:val="40"/>
      <w:szCs w:val="28"/>
    </w:rPr>
  </w:style>
  <w:style w:type="paragraph" w:styleId="Heading2">
    <w:name w:val="heading 2"/>
    <w:basedOn w:val="Normal"/>
    <w:next w:val="Normal"/>
    <w:link w:val="Heading2Char"/>
    <w:uiPriority w:val="9"/>
    <w:unhideWhenUsed/>
    <w:qFormat/>
    <w:rsid w:val="00AF669F"/>
    <w:pPr>
      <w:keepNext/>
      <w:keepLines/>
      <w:spacing w:before="200" w:after="0"/>
      <w:outlineLvl w:val="1"/>
    </w:pPr>
    <w:rPr>
      <w:rFonts w:asciiTheme="majorHAnsi" w:eastAsiaTheme="majorEastAsia" w:hAnsiTheme="majorHAnsi" w:cstheme="majorBidi"/>
      <w:b/>
      <w:bCs/>
      <w:color w:val="002060"/>
      <w:sz w:val="32"/>
      <w:szCs w:val="26"/>
    </w:rPr>
  </w:style>
  <w:style w:type="paragraph" w:styleId="Heading3">
    <w:name w:val="heading 3"/>
    <w:basedOn w:val="Normal"/>
    <w:next w:val="Normal"/>
    <w:link w:val="Heading3Char"/>
    <w:uiPriority w:val="9"/>
    <w:unhideWhenUsed/>
    <w:qFormat/>
    <w:rsid w:val="00C26944"/>
    <w:pPr>
      <w:keepNext/>
      <w:keepLines/>
      <w:spacing w:before="200" w:after="0"/>
      <w:outlineLvl w:val="2"/>
    </w:pPr>
    <w:rPr>
      <w:rFonts w:asciiTheme="majorHAnsi" w:eastAsiaTheme="majorEastAsia" w:hAnsiTheme="majorHAnsi" w:cstheme="majorBidi"/>
      <w:b/>
      <w:bCs/>
      <w:color w:val="002060"/>
      <w:sz w:val="28"/>
    </w:rPr>
  </w:style>
  <w:style w:type="paragraph" w:styleId="Heading4">
    <w:name w:val="heading 4"/>
    <w:basedOn w:val="Normal"/>
    <w:next w:val="Normal"/>
    <w:link w:val="Heading4Char"/>
    <w:uiPriority w:val="9"/>
    <w:unhideWhenUsed/>
    <w:qFormat/>
    <w:rsid w:val="00C26944"/>
    <w:pPr>
      <w:keepNext/>
      <w:keepLines/>
      <w:spacing w:before="200" w:after="0"/>
      <w:outlineLvl w:val="3"/>
    </w:pPr>
    <w:rPr>
      <w:rFonts w:asciiTheme="majorHAnsi" w:eastAsiaTheme="majorEastAsia" w:hAnsiTheme="majorHAnsi" w:cstheme="majorBidi"/>
      <w:b/>
      <w:bCs/>
      <w:iCs/>
      <w:color w:val="002060"/>
    </w:rPr>
  </w:style>
  <w:style w:type="paragraph" w:styleId="Heading5">
    <w:name w:val="heading 5"/>
    <w:basedOn w:val="Normal"/>
    <w:next w:val="Normal"/>
    <w:link w:val="Heading5Char"/>
    <w:uiPriority w:val="9"/>
    <w:unhideWhenUsed/>
    <w:qFormat/>
    <w:rsid w:val="003A22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D9"/>
    <w:rPr>
      <w:rFonts w:ascii="Tahoma" w:hAnsi="Tahoma" w:cs="Tahoma"/>
      <w:sz w:val="16"/>
      <w:szCs w:val="16"/>
    </w:rPr>
  </w:style>
  <w:style w:type="paragraph" w:styleId="Title">
    <w:name w:val="Title"/>
    <w:basedOn w:val="Normal"/>
    <w:next w:val="Normal"/>
    <w:link w:val="TitleChar"/>
    <w:uiPriority w:val="10"/>
    <w:qFormat/>
    <w:rsid w:val="001F0E1D"/>
    <w:pPr>
      <w:spacing w:before="1560" w:after="300" w:line="240" w:lineRule="auto"/>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1F0E1D"/>
    <w:rPr>
      <w:rFonts w:asciiTheme="majorHAnsi" w:eastAsiaTheme="majorEastAsia" w:hAnsiTheme="majorHAnsi"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1F0E1D"/>
    <w:pPr>
      <w:numPr>
        <w:ilvl w:val="1"/>
      </w:numPr>
      <w:spacing w:before="720"/>
      <w:jc w:val="center"/>
    </w:pPr>
    <w:rPr>
      <w:rFonts w:asciiTheme="majorHAnsi" w:eastAsiaTheme="majorEastAsia" w:hAnsiTheme="majorHAnsi" w:cstheme="majorBidi"/>
      <w:b/>
      <w:iCs/>
      <w:color w:val="17365D" w:themeColor="text2" w:themeShade="BF"/>
      <w:spacing w:val="15"/>
      <w:sz w:val="40"/>
      <w:szCs w:val="40"/>
    </w:rPr>
  </w:style>
  <w:style w:type="character" w:customStyle="1" w:styleId="SubtitleChar">
    <w:name w:val="Subtitle Char"/>
    <w:basedOn w:val="DefaultParagraphFont"/>
    <w:link w:val="Subtitle"/>
    <w:uiPriority w:val="11"/>
    <w:rsid w:val="001F0E1D"/>
    <w:rPr>
      <w:rFonts w:asciiTheme="majorHAnsi" w:eastAsiaTheme="majorEastAsia" w:hAnsiTheme="majorHAnsi" w:cstheme="majorBidi"/>
      <w:b/>
      <w:iCs/>
      <w:color w:val="17365D" w:themeColor="text2" w:themeShade="BF"/>
      <w:spacing w:val="15"/>
      <w:sz w:val="40"/>
      <w:szCs w:val="40"/>
    </w:rPr>
  </w:style>
  <w:style w:type="paragraph" w:customStyle="1" w:styleId="TitlePagedate">
    <w:name w:val="TitlePage date"/>
    <w:basedOn w:val="Normal"/>
    <w:link w:val="TitlePagedateChar"/>
    <w:qFormat/>
    <w:rsid w:val="00753949"/>
    <w:pPr>
      <w:numPr>
        <w:ilvl w:val="1"/>
      </w:numPr>
      <w:spacing w:before="1920"/>
      <w:jc w:val="center"/>
    </w:pPr>
    <w:rPr>
      <w:rFonts w:asciiTheme="majorHAnsi" w:eastAsiaTheme="majorEastAsia" w:hAnsiTheme="majorHAnsi" w:cstheme="majorBidi"/>
      <w:b/>
      <w:iCs/>
      <w:color w:val="17365D" w:themeColor="text2" w:themeShade="BF"/>
      <w:spacing w:val="15"/>
      <w:sz w:val="40"/>
      <w:szCs w:val="40"/>
    </w:rPr>
  </w:style>
  <w:style w:type="paragraph" w:customStyle="1" w:styleId="TitlePageStatement">
    <w:name w:val="Title Page Statement"/>
    <w:basedOn w:val="Normal"/>
    <w:link w:val="TitlePageStatementChar"/>
    <w:rsid w:val="00EC0938"/>
    <w:pPr>
      <w:spacing w:before="1680"/>
    </w:pPr>
    <w:rPr>
      <w:color w:val="000000" w:themeColor="text1"/>
    </w:rPr>
  </w:style>
  <w:style w:type="character" w:customStyle="1" w:styleId="TitlePagedateChar">
    <w:name w:val="TitlePage date Char"/>
    <w:basedOn w:val="DefaultParagraphFont"/>
    <w:link w:val="TitlePagedate"/>
    <w:rsid w:val="00753949"/>
    <w:rPr>
      <w:rFonts w:asciiTheme="majorHAnsi" w:eastAsiaTheme="majorEastAsia" w:hAnsiTheme="majorHAnsi" w:cstheme="majorBidi"/>
      <w:b/>
      <w:iCs/>
      <w:color w:val="17365D" w:themeColor="text2" w:themeShade="BF"/>
      <w:spacing w:val="15"/>
      <w:sz w:val="40"/>
      <w:szCs w:val="40"/>
    </w:rPr>
  </w:style>
  <w:style w:type="character" w:customStyle="1" w:styleId="TitlePageStatementChar">
    <w:name w:val="Title Page Statement Char"/>
    <w:basedOn w:val="DefaultParagraphFont"/>
    <w:link w:val="TitlePageStatement"/>
    <w:rsid w:val="00EC0938"/>
    <w:rPr>
      <w:color w:val="000000" w:themeColor="text1"/>
    </w:rPr>
  </w:style>
  <w:style w:type="character" w:customStyle="1" w:styleId="Heading1Char">
    <w:name w:val="Heading 1 Char"/>
    <w:basedOn w:val="DefaultParagraphFont"/>
    <w:link w:val="Heading1"/>
    <w:uiPriority w:val="9"/>
    <w:rsid w:val="000274ED"/>
    <w:rPr>
      <w:rFonts w:asciiTheme="majorHAnsi" w:eastAsiaTheme="majorEastAsia" w:hAnsiTheme="majorHAnsi" w:cstheme="majorBidi"/>
      <w:b/>
      <w:bCs/>
      <w:color w:val="002060"/>
      <w:sz w:val="40"/>
      <w:szCs w:val="28"/>
    </w:rPr>
  </w:style>
  <w:style w:type="character" w:customStyle="1" w:styleId="Heading2Char">
    <w:name w:val="Heading 2 Char"/>
    <w:basedOn w:val="DefaultParagraphFont"/>
    <w:link w:val="Heading2"/>
    <w:uiPriority w:val="9"/>
    <w:rsid w:val="00AF669F"/>
    <w:rPr>
      <w:rFonts w:asciiTheme="majorHAnsi" w:eastAsiaTheme="majorEastAsia" w:hAnsiTheme="majorHAnsi" w:cstheme="majorBidi"/>
      <w:b/>
      <w:bCs/>
      <w:color w:val="002060"/>
      <w:sz w:val="32"/>
      <w:szCs w:val="26"/>
    </w:rPr>
  </w:style>
  <w:style w:type="character" w:customStyle="1" w:styleId="Heading3Char">
    <w:name w:val="Heading 3 Char"/>
    <w:basedOn w:val="DefaultParagraphFont"/>
    <w:link w:val="Heading3"/>
    <w:uiPriority w:val="9"/>
    <w:rsid w:val="00C26944"/>
    <w:rPr>
      <w:rFonts w:asciiTheme="majorHAnsi" w:eastAsiaTheme="majorEastAsia" w:hAnsiTheme="majorHAnsi" w:cstheme="majorBidi"/>
      <w:b/>
      <w:bCs/>
      <w:color w:val="002060"/>
      <w:sz w:val="28"/>
    </w:rPr>
  </w:style>
  <w:style w:type="character" w:customStyle="1" w:styleId="Heading4Char">
    <w:name w:val="Heading 4 Char"/>
    <w:basedOn w:val="DefaultParagraphFont"/>
    <w:link w:val="Heading4"/>
    <w:uiPriority w:val="9"/>
    <w:rsid w:val="00C26944"/>
    <w:rPr>
      <w:rFonts w:asciiTheme="majorHAnsi" w:eastAsiaTheme="majorEastAsia" w:hAnsiTheme="majorHAnsi" w:cstheme="majorBidi"/>
      <w:b/>
      <w:bCs/>
      <w:iCs/>
      <w:color w:val="002060"/>
    </w:rPr>
  </w:style>
  <w:style w:type="table" w:styleId="TableGrid">
    <w:name w:val="Table Grid"/>
    <w:basedOn w:val="TableNormal"/>
    <w:uiPriority w:val="59"/>
    <w:rsid w:val="0076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3615"/>
    <w:pPr>
      <w:spacing w:line="240" w:lineRule="auto"/>
    </w:pPr>
    <w:rPr>
      <w:b/>
      <w:bCs/>
      <w:szCs w:val="18"/>
    </w:rPr>
  </w:style>
  <w:style w:type="paragraph" w:styleId="Header">
    <w:name w:val="header"/>
    <w:basedOn w:val="Normal"/>
    <w:link w:val="HeaderChar"/>
    <w:uiPriority w:val="99"/>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7F"/>
  </w:style>
  <w:style w:type="paragraph" w:styleId="Footer">
    <w:name w:val="footer"/>
    <w:basedOn w:val="Normal"/>
    <w:link w:val="FooterChar"/>
    <w:uiPriority w:val="99"/>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7F"/>
  </w:style>
  <w:style w:type="paragraph" w:styleId="FootnoteText">
    <w:name w:val="footnote text"/>
    <w:basedOn w:val="Normal"/>
    <w:link w:val="FootnoteTextChar"/>
    <w:uiPriority w:val="99"/>
    <w:semiHidden/>
    <w:unhideWhenUsed/>
    <w:rsid w:val="00AE1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F7F"/>
    <w:rPr>
      <w:sz w:val="20"/>
      <w:szCs w:val="20"/>
    </w:rPr>
  </w:style>
  <w:style w:type="character" w:styleId="FootnoteReference">
    <w:name w:val="footnote reference"/>
    <w:basedOn w:val="DefaultParagraphFont"/>
    <w:unhideWhenUsed/>
    <w:rsid w:val="00AE1F7F"/>
    <w:rPr>
      <w:vertAlign w:val="superscript"/>
    </w:rPr>
  </w:style>
  <w:style w:type="paragraph" w:customStyle="1" w:styleId="BlockQuote">
    <w:name w:val="Block Quote"/>
    <w:basedOn w:val="Normal"/>
    <w:link w:val="BlockQuoteChar"/>
    <w:qFormat/>
    <w:rsid w:val="003358E4"/>
    <w:pPr>
      <w:pBdr>
        <w:bottom w:val="single" w:sz="4" w:space="4" w:color="4F81BD" w:themeColor="accent1"/>
      </w:pBdr>
      <w:spacing w:before="200" w:after="280"/>
      <w:ind w:left="936" w:right="936"/>
    </w:pPr>
    <w:rPr>
      <w:b/>
      <w:bCs/>
      <w:i/>
      <w:iCs/>
      <w:lang w:val="en"/>
    </w:rPr>
  </w:style>
  <w:style w:type="paragraph" w:styleId="TOCHeading">
    <w:name w:val="TOC Heading"/>
    <w:basedOn w:val="Heading1"/>
    <w:next w:val="Normal"/>
    <w:uiPriority w:val="39"/>
    <w:semiHidden/>
    <w:unhideWhenUsed/>
    <w:qFormat/>
    <w:rsid w:val="003A22A1"/>
    <w:pPr>
      <w:jc w:val="left"/>
      <w:outlineLvl w:val="9"/>
    </w:pPr>
    <w:rPr>
      <w:color w:val="365F91" w:themeColor="accent1" w:themeShade="BF"/>
      <w:sz w:val="28"/>
      <w:lang w:val="en-US" w:eastAsia="ja-JP"/>
    </w:rPr>
  </w:style>
  <w:style w:type="character" w:customStyle="1" w:styleId="BlockQuoteChar">
    <w:name w:val="Block Quote Char"/>
    <w:basedOn w:val="DefaultParagraphFont"/>
    <w:link w:val="BlockQuote"/>
    <w:rsid w:val="003358E4"/>
    <w:rPr>
      <w:b/>
      <w:bCs/>
      <w:i/>
      <w:iCs/>
      <w:lang w:val="en"/>
    </w:rPr>
  </w:style>
  <w:style w:type="paragraph" w:styleId="TOC1">
    <w:name w:val="toc 1"/>
    <w:basedOn w:val="Normal"/>
    <w:next w:val="Normal"/>
    <w:autoRedefine/>
    <w:uiPriority w:val="39"/>
    <w:unhideWhenUsed/>
    <w:rsid w:val="003A22A1"/>
    <w:pPr>
      <w:spacing w:after="100"/>
    </w:pPr>
  </w:style>
  <w:style w:type="paragraph" w:styleId="TOC2">
    <w:name w:val="toc 2"/>
    <w:basedOn w:val="Normal"/>
    <w:next w:val="Normal"/>
    <w:autoRedefine/>
    <w:uiPriority w:val="39"/>
    <w:unhideWhenUsed/>
    <w:rsid w:val="003A22A1"/>
    <w:pPr>
      <w:spacing w:after="100"/>
      <w:ind w:left="220"/>
    </w:pPr>
  </w:style>
  <w:style w:type="paragraph" w:styleId="TOC3">
    <w:name w:val="toc 3"/>
    <w:basedOn w:val="Normal"/>
    <w:next w:val="Normal"/>
    <w:autoRedefine/>
    <w:uiPriority w:val="39"/>
    <w:unhideWhenUsed/>
    <w:rsid w:val="003A22A1"/>
    <w:pPr>
      <w:spacing w:after="100"/>
      <w:ind w:left="440"/>
    </w:pPr>
  </w:style>
  <w:style w:type="character" w:styleId="Hyperlink">
    <w:name w:val="Hyperlink"/>
    <w:basedOn w:val="DefaultParagraphFont"/>
    <w:uiPriority w:val="99"/>
    <w:unhideWhenUsed/>
    <w:rsid w:val="003A22A1"/>
    <w:rPr>
      <w:color w:val="0000FF" w:themeColor="hyperlink"/>
      <w:u w:val="single"/>
    </w:rPr>
  </w:style>
  <w:style w:type="character" w:customStyle="1" w:styleId="Heading5Char">
    <w:name w:val="Heading 5 Char"/>
    <w:basedOn w:val="DefaultParagraphFont"/>
    <w:link w:val="Heading5"/>
    <w:uiPriority w:val="9"/>
    <w:rsid w:val="003A22A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qFormat/>
    <w:rsid w:val="003A22A1"/>
    <w:pPr>
      <w:spacing w:after="120"/>
    </w:pPr>
  </w:style>
  <w:style w:type="character" w:customStyle="1" w:styleId="BodyTextChar">
    <w:name w:val="Body Text Char"/>
    <w:basedOn w:val="DefaultParagraphFont"/>
    <w:link w:val="BodyText"/>
    <w:uiPriority w:val="99"/>
    <w:rsid w:val="003A22A1"/>
  </w:style>
  <w:style w:type="paragraph" w:styleId="BodyTextIndent">
    <w:name w:val="Body Text Indent"/>
    <w:basedOn w:val="Normal"/>
    <w:link w:val="BodyTextIndentChar"/>
    <w:uiPriority w:val="99"/>
    <w:rsid w:val="00054A01"/>
    <w:pPr>
      <w:spacing w:after="120"/>
      <w:ind w:left="283"/>
    </w:pPr>
  </w:style>
  <w:style w:type="character" w:customStyle="1" w:styleId="BodyTextIndentChar">
    <w:name w:val="Body Text Indent Char"/>
    <w:basedOn w:val="DefaultParagraphFont"/>
    <w:link w:val="BodyTextIndent"/>
    <w:uiPriority w:val="99"/>
    <w:rsid w:val="00054A01"/>
  </w:style>
  <w:style w:type="paragraph" w:styleId="BlockText">
    <w:name w:val="Block Text"/>
    <w:basedOn w:val="Normal"/>
    <w:uiPriority w:val="99"/>
    <w:rsid w:val="00CC5D6C"/>
    <w:pPr>
      <w:ind w:left="284" w:right="284"/>
    </w:pPr>
    <w:rPr>
      <w:rFonts w:eastAsiaTheme="minorEastAsia"/>
      <w:i/>
      <w:iCs/>
    </w:rPr>
  </w:style>
  <w:style w:type="character" w:styleId="Emphasis">
    <w:name w:val="Emphasis"/>
    <w:basedOn w:val="DefaultParagraphFont"/>
    <w:uiPriority w:val="20"/>
    <w:qFormat/>
    <w:rsid w:val="00E2695F"/>
    <w:rPr>
      <w:i/>
      <w:iCs/>
    </w:rPr>
  </w:style>
  <w:style w:type="character" w:styleId="Strong">
    <w:name w:val="Strong"/>
    <w:basedOn w:val="DefaultParagraphFont"/>
    <w:uiPriority w:val="22"/>
    <w:qFormat/>
    <w:rsid w:val="00E2695F"/>
    <w:rPr>
      <w:b/>
      <w:bCs/>
    </w:rPr>
  </w:style>
  <w:style w:type="paragraph" w:styleId="ListBullet">
    <w:name w:val="List Bullet"/>
    <w:basedOn w:val="Normal"/>
    <w:link w:val="ListBulletChar"/>
    <w:uiPriority w:val="99"/>
    <w:rsid w:val="00337EEB"/>
    <w:pPr>
      <w:numPr>
        <w:numId w:val="1"/>
      </w:numPr>
      <w:contextualSpacing/>
    </w:pPr>
  </w:style>
  <w:style w:type="paragraph" w:styleId="ListNumber">
    <w:name w:val="List Number"/>
    <w:basedOn w:val="Normal"/>
    <w:uiPriority w:val="99"/>
    <w:rsid w:val="00916592"/>
    <w:pPr>
      <w:numPr>
        <w:numId w:val="2"/>
      </w:numPr>
      <w:contextualSpacing/>
    </w:pPr>
  </w:style>
  <w:style w:type="paragraph" w:styleId="ListParagraph">
    <w:name w:val="List Paragraph"/>
    <w:basedOn w:val="Normal"/>
    <w:uiPriority w:val="34"/>
    <w:qFormat/>
    <w:rsid w:val="00DA4FEF"/>
    <w:pPr>
      <w:ind w:left="720"/>
      <w:contextualSpacing/>
    </w:pPr>
  </w:style>
  <w:style w:type="paragraph" w:customStyle="1" w:styleId="Multilevelbullet">
    <w:name w:val="Multi level bullet"/>
    <w:basedOn w:val="ListBullet"/>
    <w:link w:val="MultilevelbulletChar"/>
    <w:qFormat/>
    <w:rsid w:val="00EB43FD"/>
    <w:pPr>
      <w:numPr>
        <w:numId w:val="3"/>
      </w:numPr>
      <w:ind w:left="357" w:hanging="357"/>
      <w:contextualSpacing w:val="0"/>
    </w:pPr>
  </w:style>
  <w:style w:type="numbering" w:customStyle="1" w:styleId="Multi-levelnumbered0">
    <w:name w:val="Multi-level numbered"/>
    <w:uiPriority w:val="99"/>
    <w:rsid w:val="009A5804"/>
    <w:pPr>
      <w:numPr>
        <w:numId w:val="4"/>
      </w:numPr>
    </w:pPr>
  </w:style>
  <w:style w:type="character" w:customStyle="1" w:styleId="ListBulletChar">
    <w:name w:val="List Bullet Char"/>
    <w:basedOn w:val="DefaultParagraphFont"/>
    <w:link w:val="ListBullet"/>
    <w:uiPriority w:val="99"/>
    <w:rsid w:val="009A5804"/>
    <w:rPr>
      <w:rFonts w:ascii="Arial" w:hAnsi="Arial"/>
    </w:rPr>
  </w:style>
  <w:style w:type="character" w:customStyle="1" w:styleId="MultilevelbulletChar">
    <w:name w:val="Multi level bullet Char"/>
    <w:basedOn w:val="ListBulletChar"/>
    <w:link w:val="Multilevelbullet"/>
    <w:rsid w:val="00EB43FD"/>
    <w:rPr>
      <w:rFonts w:ascii="Arial" w:hAnsi="Arial"/>
    </w:rPr>
  </w:style>
  <w:style w:type="paragraph" w:customStyle="1" w:styleId="Multi-levelNumbered">
    <w:name w:val="Multi-level Numbered"/>
    <w:basedOn w:val="ListBullet"/>
    <w:link w:val="Multi-levelNumberedChar"/>
    <w:qFormat/>
    <w:rsid w:val="009A5804"/>
    <w:pPr>
      <w:numPr>
        <w:numId w:val="5"/>
      </w:numPr>
    </w:pPr>
  </w:style>
  <w:style w:type="character" w:customStyle="1" w:styleId="Multi-levelNumberedChar">
    <w:name w:val="Multi-level Numbered Char"/>
    <w:basedOn w:val="ListBulletChar"/>
    <w:link w:val="Multi-levelNumbered"/>
    <w:rsid w:val="009A5804"/>
    <w:rPr>
      <w:rFonts w:ascii="Arial" w:hAnsi="Arial"/>
    </w:rPr>
  </w:style>
  <w:style w:type="character" w:styleId="FollowedHyperlink">
    <w:name w:val="FollowedHyperlink"/>
    <w:basedOn w:val="DefaultParagraphFont"/>
    <w:uiPriority w:val="99"/>
    <w:semiHidden/>
    <w:unhideWhenUsed/>
    <w:rsid w:val="00723F5F"/>
    <w:rPr>
      <w:color w:val="800080" w:themeColor="followedHyperlink"/>
      <w:u w:val="single"/>
    </w:rPr>
  </w:style>
  <w:style w:type="paragraph" w:styleId="Quote">
    <w:name w:val="Quote"/>
    <w:basedOn w:val="Normal"/>
    <w:next w:val="Normal"/>
    <w:link w:val="QuoteChar"/>
    <w:uiPriority w:val="29"/>
    <w:qFormat/>
    <w:rsid w:val="008D44C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8D44CB"/>
    <w:rPr>
      <w:rFonts w:ascii="Arial" w:hAnsi="Arial"/>
      <w:i/>
      <w:iCs/>
      <w:color w:val="404040" w:themeColor="text1" w:themeTint="BF"/>
    </w:rPr>
  </w:style>
  <w:style w:type="character" w:styleId="CommentReference">
    <w:name w:val="annotation reference"/>
    <w:basedOn w:val="DefaultParagraphFont"/>
    <w:uiPriority w:val="99"/>
    <w:semiHidden/>
    <w:unhideWhenUsed/>
    <w:rsid w:val="00677567"/>
    <w:rPr>
      <w:sz w:val="16"/>
      <w:szCs w:val="16"/>
    </w:rPr>
  </w:style>
  <w:style w:type="paragraph" w:styleId="CommentText">
    <w:name w:val="annotation text"/>
    <w:basedOn w:val="Normal"/>
    <w:link w:val="CommentTextChar"/>
    <w:uiPriority w:val="99"/>
    <w:semiHidden/>
    <w:unhideWhenUsed/>
    <w:rsid w:val="00677567"/>
    <w:pPr>
      <w:spacing w:line="240" w:lineRule="auto"/>
    </w:pPr>
    <w:rPr>
      <w:sz w:val="20"/>
      <w:szCs w:val="20"/>
    </w:rPr>
  </w:style>
  <w:style w:type="character" w:customStyle="1" w:styleId="CommentTextChar">
    <w:name w:val="Comment Text Char"/>
    <w:basedOn w:val="DefaultParagraphFont"/>
    <w:link w:val="CommentText"/>
    <w:uiPriority w:val="99"/>
    <w:semiHidden/>
    <w:rsid w:val="006775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7567"/>
    <w:rPr>
      <w:b/>
      <w:bCs/>
    </w:rPr>
  </w:style>
  <w:style w:type="character" w:customStyle="1" w:styleId="CommentSubjectChar">
    <w:name w:val="Comment Subject Char"/>
    <w:basedOn w:val="CommentTextChar"/>
    <w:link w:val="CommentSubject"/>
    <w:uiPriority w:val="99"/>
    <w:semiHidden/>
    <w:rsid w:val="00677567"/>
    <w:rPr>
      <w:rFonts w:ascii="Arial" w:hAnsi="Arial"/>
      <w:b/>
      <w:bCs/>
      <w:sz w:val="20"/>
      <w:szCs w:val="20"/>
    </w:rPr>
  </w:style>
  <w:style w:type="paragraph" w:styleId="Revision">
    <w:name w:val="Revision"/>
    <w:hidden/>
    <w:uiPriority w:val="99"/>
    <w:semiHidden/>
    <w:rsid w:val="007E48CA"/>
    <w:pPr>
      <w:spacing w:after="0" w:line="240" w:lineRule="auto"/>
    </w:pPr>
    <w:rPr>
      <w:rFonts w:ascii="Arial" w:hAnsi="Arial"/>
    </w:rPr>
  </w:style>
  <w:style w:type="paragraph" w:customStyle="1" w:styleId="Default">
    <w:name w:val="Default"/>
    <w:rsid w:val="009E28FB"/>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2B01E3"/>
    <w:pPr>
      <w:spacing w:after="100"/>
      <w:ind w:left="660"/>
    </w:pPr>
  </w:style>
  <w:style w:type="paragraph" w:styleId="TableofFigures">
    <w:name w:val="table of figures"/>
    <w:basedOn w:val="Normal"/>
    <w:next w:val="Normal"/>
    <w:uiPriority w:val="99"/>
    <w:unhideWhenUsed/>
    <w:rsid w:val="00523615"/>
    <w:pPr>
      <w:spacing w:after="0"/>
    </w:pPr>
  </w:style>
  <w:style w:type="table" w:customStyle="1" w:styleId="TableGrid1">
    <w:name w:val="Table Grid1"/>
    <w:basedOn w:val="TableNormal"/>
    <w:next w:val="TableGrid"/>
    <w:rsid w:val="00564F9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gal">
    <w:name w:val="Heading-Legal"/>
    <w:basedOn w:val="Normal"/>
    <w:link w:val="Heading-LegalChar"/>
    <w:rsid w:val="00501765"/>
    <w:pPr>
      <w:keepLines/>
      <w:shd w:val="clear" w:color="auto" w:fill="262626" w:themeFill="text1" w:themeFillTint="D9"/>
      <w:spacing w:after="0" w:line="360" w:lineRule="auto"/>
      <w:jc w:val="center"/>
    </w:pPr>
    <w:rPr>
      <w:rFonts w:eastAsia="Times New Roman" w:cs="Times"/>
      <w:b/>
      <w:color w:val="FFFFFF"/>
      <w:szCs w:val="20"/>
    </w:rPr>
  </w:style>
  <w:style w:type="character" w:customStyle="1" w:styleId="Heading-LegalChar">
    <w:name w:val="Heading-Legal Char"/>
    <w:basedOn w:val="DefaultParagraphFont"/>
    <w:link w:val="Heading-Legal"/>
    <w:rsid w:val="00501765"/>
    <w:rPr>
      <w:rFonts w:ascii="Arial" w:eastAsia="Times New Roman" w:hAnsi="Arial" w:cs="Times"/>
      <w:b/>
      <w:color w:val="FFFFFF"/>
      <w:szCs w:val="20"/>
      <w:shd w:val="clear" w:color="auto" w:fill="262626" w:themeFill="text1" w:themeFillTint="D9"/>
    </w:rPr>
  </w:style>
  <w:style w:type="paragraph" w:customStyle="1" w:styleId="DisclaimerText">
    <w:name w:val="Disclaimer Text"/>
    <w:basedOn w:val="Normal"/>
    <w:rsid w:val="00501765"/>
    <w:pPr>
      <w:shd w:val="clear" w:color="auto" w:fill="EEECE1" w:themeFill="background2"/>
      <w:spacing w:after="120" w:line="240" w:lineRule="auto"/>
      <w:jc w:val="left"/>
    </w:pPr>
    <w:rPr>
      <w:rFonts w:eastAsia="Times New Roman" w:cs="Times New Roman"/>
      <w:i/>
      <w:iCs/>
      <w:szCs w:val="20"/>
      <w:lang w:eastAsia="en-AU"/>
    </w:rPr>
  </w:style>
  <w:style w:type="paragraph" w:customStyle="1" w:styleId="ContactDetails">
    <w:name w:val="Contact Details"/>
    <w:basedOn w:val="Normal"/>
    <w:rsid w:val="00501765"/>
    <w:pPr>
      <w:tabs>
        <w:tab w:val="left" w:pos="1418"/>
        <w:tab w:val="left" w:pos="5812"/>
      </w:tabs>
      <w:spacing w:after="0" w:line="240" w:lineRule="auto"/>
      <w:jc w:val="left"/>
    </w:pPr>
    <w:rPr>
      <w:rFonts w:eastAsia="Times New Roman" w:cs="Times New Roman"/>
      <w:szCs w:val="20"/>
      <w:lang w:eastAsia="en-AU"/>
    </w:rPr>
  </w:style>
  <w:style w:type="table" w:customStyle="1" w:styleId="TableGrid2">
    <w:name w:val="Table Grid2"/>
    <w:basedOn w:val="TableNormal"/>
    <w:next w:val="TableGrid"/>
    <w:rsid w:val="004D4EDD"/>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921"/>
    <w:rPr>
      <w:rFonts w:ascii="Times New Roman" w:hAnsi="Times New Roman" w:cs="Times New Roman"/>
      <w:sz w:val="24"/>
      <w:szCs w:val="24"/>
    </w:rPr>
  </w:style>
  <w:style w:type="paragraph" w:styleId="NoSpacing">
    <w:name w:val="No Spacing"/>
    <w:uiPriority w:val="1"/>
    <w:qFormat/>
    <w:rsid w:val="00643E80"/>
    <w:pPr>
      <w:spacing w:after="0" w:line="240" w:lineRule="auto"/>
      <w:jc w:val="both"/>
    </w:pPr>
    <w:rPr>
      <w:rFonts w:ascii="Arial" w:hAnsi="Arial"/>
    </w:rPr>
  </w:style>
  <w:style w:type="character" w:styleId="PlaceholderText">
    <w:name w:val="Placeholder Text"/>
    <w:basedOn w:val="DefaultParagraphFont"/>
    <w:uiPriority w:val="99"/>
    <w:semiHidden/>
    <w:rsid w:val="007254C8"/>
    <w:rPr>
      <w:color w:val="808080"/>
    </w:rPr>
  </w:style>
  <w:style w:type="paragraph" w:customStyle="1" w:styleId="CopyrightStatement">
    <w:name w:val="Copyright Statement"/>
    <w:basedOn w:val="Normal"/>
    <w:rsid w:val="00E5159C"/>
    <w:pPr>
      <w:spacing w:after="0" w:line="240" w:lineRule="auto"/>
      <w:jc w:val="center"/>
    </w:pPr>
    <w:rPr>
      <w:rFonts w:eastAsia="Times New Roman" w:cs="Times New Roman"/>
      <w:b/>
      <w:bCs/>
      <w:szCs w:val="20"/>
      <w:lang w:eastAsia="en-AU"/>
    </w:rPr>
  </w:style>
  <w:style w:type="paragraph" w:customStyle="1" w:styleId="CopyrightText">
    <w:name w:val="Copyright Text"/>
    <w:basedOn w:val="Normal"/>
    <w:rsid w:val="00E5159C"/>
    <w:pPr>
      <w:spacing w:before="120" w:after="120" w:line="240" w:lineRule="auto"/>
      <w:jc w:val="center"/>
    </w:pPr>
    <w:rPr>
      <w:rFonts w:eastAsia="Times New Roman" w:cs="Times New Roman"/>
      <w:szCs w:val="20"/>
    </w:rPr>
  </w:style>
  <w:style w:type="paragraph" w:customStyle="1" w:styleId="CreativeCommonsstatement">
    <w:name w:val="Creative Commons statement"/>
    <w:basedOn w:val="Normal"/>
    <w:rsid w:val="00E5159C"/>
    <w:pPr>
      <w:spacing w:after="0" w:line="240" w:lineRule="auto"/>
      <w:ind w:left="851"/>
      <w:jc w:val="center"/>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3547">
      <w:bodyDiv w:val="1"/>
      <w:marLeft w:val="0"/>
      <w:marRight w:val="0"/>
      <w:marTop w:val="0"/>
      <w:marBottom w:val="0"/>
      <w:divBdr>
        <w:top w:val="none" w:sz="0" w:space="0" w:color="auto"/>
        <w:left w:val="none" w:sz="0" w:space="0" w:color="auto"/>
        <w:bottom w:val="none" w:sz="0" w:space="0" w:color="auto"/>
        <w:right w:val="none" w:sz="0" w:space="0" w:color="auto"/>
      </w:divBdr>
      <w:divsChild>
        <w:div w:id="975136899">
          <w:marLeft w:val="0"/>
          <w:marRight w:val="0"/>
          <w:marTop w:val="1050"/>
          <w:marBottom w:val="0"/>
          <w:divBdr>
            <w:top w:val="none" w:sz="0" w:space="0" w:color="auto"/>
            <w:left w:val="none" w:sz="0" w:space="0" w:color="auto"/>
            <w:bottom w:val="none" w:sz="0" w:space="0" w:color="auto"/>
            <w:right w:val="none" w:sz="0" w:space="0" w:color="auto"/>
          </w:divBdr>
          <w:divsChild>
            <w:div w:id="47341820">
              <w:marLeft w:val="0"/>
              <w:marRight w:val="0"/>
              <w:marTop w:val="0"/>
              <w:marBottom w:val="0"/>
              <w:divBdr>
                <w:top w:val="none" w:sz="0" w:space="0" w:color="auto"/>
                <w:left w:val="none" w:sz="0" w:space="0" w:color="auto"/>
                <w:bottom w:val="none" w:sz="0" w:space="0" w:color="auto"/>
                <w:right w:val="none" w:sz="0" w:space="0" w:color="auto"/>
              </w:divBdr>
              <w:divsChild>
                <w:div w:id="342753560">
                  <w:marLeft w:val="0"/>
                  <w:marRight w:val="0"/>
                  <w:marTop w:val="0"/>
                  <w:marBottom w:val="0"/>
                  <w:divBdr>
                    <w:top w:val="none" w:sz="0" w:space="0" w:color="auto"/>
                    <w:left w:val="none" w:sz="0" w:space="0" w:color="auto"/>
                    <w:bottom w:val="none" w:sz="0" w:space="0" w:color="auto"/>
                    <w:right w:val="none" w:sz="0" w:space="0" w:color="auto"/>
                  </w:divBdr>
                  <w:divsChild>
                    <w:div w:id="1136489901">
                      <w:marLeft w:val="0"/>
                      <w:marRight w:val="0"/>
                      <w:marTop w:val="0"/>
                      <w:marBottom w:val="0"/>
                      <w:divBdr>
                        <w:top w:val="none" w:sz="0" w:space="0" w:color="auto"/>
                        <w:left w:val="none" w:sz="0" w:space="0" w:color="auto"/>
                        <w:bottom w:val="none" w:sz="0" w:space="0" w:color="auto"/>
                        <w:right w:val="none" w:sz="0" w:space="0" w:color="auto"/>
                      </w:divBdr>
                      <w:divsChild>
                        <w:div w:id="1221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4568">
      <w:bodyDiv w:val="1"/>
      <w:marLeft w:val="0"/>
      <w:marRight w:val="0"/>
      <w:marTop w:val="0"/>
      <w:marBottom w:val="0"/>
      <w:divBdr>
        <w:top w:val="none" w:sz="0" w:space="0" w:color="auto"/>
        <w:left w:val="none" w:sz="0" w:space="0" w:color="auto"/>
        <w:bottom w:val="none" w:sz="0" w:space="0" w:color="auto"/>
        <w:right w:val="none" w:sz="0" w:space="0" w:color="auto"/>
      </w:divBdr>
      <w:divsChild>
        <w:div w:id="1241595051">
          <w:marLeft w:val="0"/>
          <w:marRight w:val="0"/>
          <w:marTop w:val="1050"/>
          <w:marBottom w:val="0"/>
          <w:divBdr>
            <w:top w:val="none" w:sz="0" w:space="0" w:color="auto"/>
            <w:left w:val="none" w:sz="0" w:space="0" w:color="auto"/>
            <w:bottom w:val="none" w:sz="0" w:space="0" w:color="auto"/>
            <w:right w:val="none" w:sz="0" w:space="0" w:color="auto"/>
          </w:divBdr>
          <w:divsChild>
            <w:div w:id="1101335241">
              <w:marLeft w:val="0"/>
              <w:marRight w:val="0"/>
              <w:marTop w:val="0"/>
              <w:marBottom w:val="0"/>
              <w:divBdr>
                <w:top w:val="none" w:sz="0" w:space="0" w:color="auto"/>
                <w:left w:val="none" w:sz="0" w:space="0" w:color="auto"/>
                <w:bottom w:val="none" w:sz="0" w:space="0" w:color="auto"/>
                <w:right w:val="none" w:sz="0" w:space="0" w:color="auto"/>
              </w:divBdr>
              <w:divsChild>
                <w:div w:id="1905868786">
                  <w:marLeft w:val="0"/>
                  <w:marRight w:val="0"/>
                  <w:marTop w:val="0"/>
                  <w:marBottom w:val="0"/>
                  <w:divBdr>
                    <w:top w:val="none" w:sz="0" w:space="0" w:color="auto"/>
                    <w:left w:val="none" w:sz="0" w:space="0" w:color="auto"/>
                    <w:bottom w:val="none" w:sz="0" w:space="0" w:color="auto"/>
                    <w:right w:val="none" w:sz="0" w:space="0" w:color="auto"/>
                  </w:divBdr>
                  <w:divsChild>
                    <w:div w:id="207107973">
                      <w:marLeft w:val="0"/>
                      <w:marRight w:val="0"/>
                      <w:marTop w:val="0"/>
                      <w:marBottom w:val="0"/>
                      <w:divBdr>
                        <w:top w:val="none" w:sz="0" w:space="0" w:color="auto"/>
                        <w:left w:val="none" w:sz="0" w:space="0" w:color="auto"/>
                        <w:bottom w:val="none" w:sz="0" w:space="0" w:color="auto"/>
                        <w:right w:val="none" w:sz="0" w:space="0" w:color="auto"/>
                      </w:divBdr>
                      <w:divsChild>
                        <w:div w:id="15439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0273">
      <w:bodyDiv w:val="1"/>
      <w:marLeft w:val="0"/>
      <w:marRight w:val="0"/>
      <w:marTop w:val="0"/>
      <w:marBottom w:val="0"/>
      <w:divBdr>
        <w:top w:val="none" w:sz="0" w:space="0" w:color="auto"/>
        <w:left w:val="none" w:sz="0" w:space="0" w:color="auto"/>
        <w:bottom w:val="none" w:sz="0" w:space="0" w:color="auto"/>
        <w:right w:val="none" w:sz="0" w:space="0" w:color="auto"/>
      </w:divBdr>
      <w:divsChild>
        <w:div w:id="1492991232">
          <w:marLeft w:val="0"/>
          <w:marRight w:val="0"/>
          <w:marTop w:val="1050"/>
          <w:marBottom w:val="0"/>
          <w:divBdr>
            <w:top w:val="none" w:sz="0" w:space="0" w:color="auto"/>
            <w:left w:val="none" w:sz="0" w:space="0" w:color="auto"/>
            <w:bottom w:val="none" w:sz="0" w:space="0" w:color="auto"/>
            <w:right w:val="none" w:sz="0" w:space="0" w:color="auto"/>
          </w:divBdr>
          <w:divsChild>
            <w:div w:id="1738895533">
              <w:marLeft w:val="0"/>
              <w:marRight w:val="0"/>
              <w:marTop w:val="0"/>
              <w:marBottom w:val="0"/>
              <w:divBdr>
                <w:top w:val="none" w:sz="0" w:space="0" w:color="auto"/>
                <w:left w:val="none" w:sz="0" w:space="0" w:color="auto"/>
                <w:bottom w:val="none" w:sz="0" w:space="0" w:color="auto"/>
                <w:right w:val="none" w:sz="0" w:space="0" w:color="auto"/>
              </w:divBdr>
              <w:divsChild>
                <w:div w:id="1447386792">
                  <w:marLeft w:val="0"/>
                  <w:marRight w:val="0"/>
                  <w:marTop w:val="0"/>
                  <w:marBottom w:val="0"/>
                  <w:divBdr>
                    <w:top w:val="none" w:sz="0" w:space="0" w:color="auto"/>
                    <w:left w:val="none" w:sz="0" w:space="0" w:color="auto"/>
                    <w:bottom w:val="none" w:sz="0" w:space="0" w:color="auto"/>
                    <w:right w:val="none" w:sz="0" w:space="0" w:color="auto"/>
                  </w:divBdr>
                  <w:divsChild>
                    <w:div w:id="1215967227">
                      <w:marLeft w:val="0"/>
                      <w:marRight w:val="0"/>
                      <w:marTop w:val="0"/>
                      <w:marBottom w:val="0"/>
                      <w:divBdr>
                        <w:top w:val="none" w:sz="0" w:space="0" w:color="auto"/>
                        <w:left w:val="none" w:sz="0" w:space="0" w:color="auto"/>
                        <w:bottom w:val="none" w:sz="0" w:space="0" w:color="auto"/>
                        <w:right w:val="none" w:sz="0" w:space="0" w:color="auto"/>
                      </w:divBdr>
                      <w:divsChild>
                        <w:div w:id="1445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4146">
      <w:bodyDiv w:val="1"/>
      <w:marLeft w:val="0"/>
      <w:marRight w:val="0"/>
      <w:marTop w:val="0"/>
      <w:marBottom w:val="0"/>
      <w:divBdr>
        <w:top w:val="none" w:sz="0" w:space="0" w:color="auto"/>
        <w:left w:val="none" w:sz="0" w:space="0" w:color="auto"/>
        <w:bottom w:val="none" w:sz="0" w:space="0" w:color="auto"/>
        <w:right w:val="none" w:sz="0" w:space="0" w:color="auto"/>
      </w:divBdr>
      <w:divsChild>
        <w:div w:id="896936544">
          <w:marLeft w:val="0"/>
          <w:marRight w:val="0"/>
          <w:marTop w:val="1050"/>
          <w:marBottom w:val="0"/>
          <w:divBdr>
            <w:top w:val="none" w:sz="0" w:space="0" w:color="auto"/>
            <w:left w:val="none" w:sz="0" w:space="0" w:color="auto"/>
            <w:bottom w:val="none" w:sz="0" w:space="0" w:color="auto"/>
            <w:right w:val="none" w:sz="0" w:space="0" w:color="auto"/>
          </w:divBdr>
          <w:divsChild>
            <w:div w:id="568803517">
              <w:marLeft w:val="0"/>
              <w:marRight w:val="0"/>
              <w:marTop w:val="0"/>
              <w:marBottom w:val="0"/>
              <w:divBdr>
                <w:top w:val="none" w:sz="0" w:space="0" w:color="auto"/>
                <w:left w:val="none" w:sz="0" w:space="0" w:color="auto"/>
                <w:bottom w:val="none" w:sz="0" w:space="0" w:color="auto"/>
                <w:right w:val="none" w:sz="0" w:space="0" w:color="auto"/>
              </w:divBdr>
              <w:divsChild>
                <w:div w:id="1454322022">
                  <w:marLeft w:val="0"/>
                  <w:marRight w:val="0"/>
                  <w:marTop w:val="0"/>
                  <w:marBottom w:val="0"/>
                  <w:divBdr>
                    <w:top w:val="none" w:sz="0" w:space="0" w:color="auto"/>
                    <w:left w:val="none" w:sz="0" w:space="0" w:color="auto"/>
                    <w:bottom w:val="none" w:sz="0" w:space="0" w:color="auto"/>
                    <w:right w:val="none" w:sz="0" w:space="0" w:color="auto"/>
                  </w:divBdr>
                  <w:divsChild>
                    <w:div w:id="1389107798">
                      <w:marLeft w:val="0"/>
                      <w:marRight w:val="0"/>
                      <w:marTop w:val="0"/>
                      <w:marBottom w:val="0"/>
                      <w:divBdr>
                        <w:top w:val="none" w:sz="0" w:space="0" w:color="auto"/>
                        <w:left w:val="none" w:sz="0" w:space="0" w:color="auto"/>
                        <w:bottom w:val="none" w:sz="0" w:space="0" w:color="auto"/>
                        <w:right w:val="none" w:sz="0" w:space="0" w:color="auto"/>
                      </w:divBdr>
                      <w:divsChild>
                        <w:div w:id="20329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76609">
      <w:bodyDiv w:val="1"/>
      <w:marLeft w:val="0"/>
      <w:marRight w:val="0"/>
      <w:marTop w:val="0"/>
      <w:marBottom w:val="0"/>
      <w:divBdr>
        <w:top w:val="none" w:sz="0" w:space="0" w:color="auto"/>
        <w:left w:val="none" w:sz="0" w:space="0" w:color="auto"/>
        <w:bottom w:val="none" w:sz="0" w:space="0" w:color="auto"/>
        <w:right w:val="none" w:sz="0" w:space="0" w:color="auto"/>
      </w:divBdr>
      <w:divsChild>
        <w:div w:id="89206986">
          <w:marLeft w:val="0"/>
          <w:marRight w:val="0"/>
          <w:marTop w:val="1050"/>
          <w:marBottom w:val="0"/>
          <w:divBdr>
            <w:top w:val="none" w:sz="0" w:space="0" w:color="auto"/>
            <w:left w:val="none" w:sz="0" w:space="0" w:color="auto"/>
            <w:bottom w:val="none" w:sz="0" w:space="0" w:color="auto"/>
            <w:right w:val="none" w:sz="0" w:space="0" w:color="auto"/>
          </w:divBdr>
          <w:divsChild>
            <w:div w:id="1972010226">
              <w:marLeft w:val="0"/>
              <w:marRight w:val="0"/>
              <w:marTop w:val="0"/>
              <w:marBottom w:val="0"/>
              <w:divBdr>
                <w:top w:val="none" w:sz="0" w:space="0" w:color="auto"/>
                <w:left w:val="none" w:sz="0" w:space="0" w:color="auto"/>
                <w:bottom w:val="none" w:sz="0" w:space="0" w:color="auto"/>
                <w:right w:val="none" w:sz="0" w:space="0" w:color="auto"/>
              </w:divBdr>
              <w:divsChild>
                <w:div w:id="1436051900">
                  <w:marLeft w:val="0"/>
                  <w:marRight w:val="0"/>
                  <w:marTop w:val="0"/>
                  <w:marBottom w:val="0"/>
                  <w:divBdr>
                    <w:top w:val="none" w:sz="0" w:space="0" w:color="auto"/>
                    <w:left w:val="none" w:sz="0" w:space="0" w:color="auto"/>
                    <w:bottom w:val="none" w:sz="0" w:space="0" w:color="auto"/>
                    <w:right w:val="none" w:sz="0" w:space="0" w:color="auto"/>
                  </w:divBdr>
                  <w:divsChild>
                    <w:div w:id="1219434013">
                      <w:marLeft w:val="0"/>
                      <w:marRight w:val="0"/>
                      <w:marTop w:val="0"/>
                      <w:marBottom w:val="0"/>
                      <w:divBdr>
                        <w:top w:val="none" w:sz="0" w:space="0" w:color="auto"/>
                        <w:left w:val="none" w:sz="0" w:space="0" w:color="auto"/>
                        <w:bottom w:val="none" w:sz="0" w:space="0" w:color="auto"/>
                        <w:right w:val="none" w:sz="0" w:space="0" w:color="auto"/>
                      </w:divBdr>
                      <w:divsChild>
                        <w:div w:id="50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3940">
      <w:bodyDiv w:val="1"/>
      <w:marLeft w:val="0"/>
      <w:marRight w:val="0"/>
      <w:marTop w:val="0"/>
      <w:marBottom w:val="0"/>
      <w:divBdr>
        <w:top w:val="none" w:sz="0" w:space="0" w:color="auto"/>
        <w:left w:val="none" w:sz="0" w:space="0" w:color="auto"/>
        <w:bottom w:val="none" w:sz="0" w:space="0" w:color="auto"/>
        <w:right w:val="none" w:sz="0" w:space="0" w:color="auto"/>
      </w:divBdr>
      <w:divsChild>
        <w:div w:id="358822825">
          <w:marLeft w:val="0"/>
          <w:marRight w:val="0"/>
          <w:marTop w:val="1050"/>
          <w:marBottom w:val="0"/>
          <w:divBdr>
            <w:top w:val="none" w:sz="0" w:space="0" w:color="auto"/>
            <w:left w:val="none" w:sz="0" w:space="0" w:color="auto"/>
            <w:bottom w:val="none" w:sz="0" w:space="0" w:color="auto"/>
            <w:right w:val="none" w:sz="0" w:space="0" w:color="auto"/>
          </w:divBdr>
          <w:divsChild>
            <w:div w:id="257449934">
              <w:marLeft w:val="0"/>
              <w:marRight w:val="0"/>
              <w:marTop w:val="0"/>
              <w:marBottom w:val="0"/>
              <w:divBdr>
                <w:top w:val="none" w:sz="0" w:space="0" w:color="auto"/>
                <w:left w:val="none" w:sz="0" w:space="0" w:color="auto"/>
                <w:bottom w:val="none" w:sz="0" w:space="0" w:color="auto"/>
                <w:right w:val="none" w:sz="0" w:space="0" w:color="auto"/>
              </w:divBdr>
              <w:divsChild>
                <w:div w:id="626157162">
                  <w:marLeft w:val="0"/>
                  <w:marRight w:val="0"/>
                  <w:marTop w:val="0"/>
                  <w:marBottom w:val="0"/>
                  <w:divBdr>
                    <w:top w:val="none" w:sz="0" w:space="0" w:color="auto"/>
                    <w:left w:val="none" w:sz="0" w:space="0" w:color="auto"/>
                    <w:bottom w:val="none" w:sz="0" w:space="0" w:color="auto"/>
                    <w:right w:val="none" w:sz="0" w:space="0" w:color="auto"/>
                  </w:divBdr>
                </w:div>
                <w:div w:id="1776754961">
                  <w:marLeft w:val="0"/>
                  <w:marRight w:val="0"/>
                  <w:marTop w:val="0"/>
                  <w:marBottom w:val="0"/>
                  <w:divBdr>
                    <w:top w:val="none" w:sz="0" w:space="0" w:color="auto"/>
                    <w:left w:val="none" w:sz="0" w:space="0" w:color="auto"/>
                    <w:bottom w:val="none" w:sz="0" w:space="0" w:color="auto"/>
                    <w:right w:val="none" w:sz="0" w:space="0" w:color="auto"/>
                  </w:divBdr>
                  <w:divsChild>
                    <w:div w:id="988822341">
                      <w:marLeft w:val="0"/>
                      <w:marRight w:val="0"/>
                      <w:marTop w:val="0"/>
                      <w:marBottom w:val="0"/>
                      <w:divBdr>
                        <w:top w:val="none" w:sz="0" w:space="0" w:color="auto"/>
                        <w:left w:val="none" w:sz="0" w:space="0" w:color="auto"/>
                        <w:bottom w:val="none" w:sz="0" w:space="0" w:color="auto"/>
                        <w:right w:val="none" w:sz="0" w:space="0" w:color="auto"/>
                      </w:divBdr>
                      <w:divsChild>
                        <w:div w:id="3934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bcb.gov.au" TargetMode="External"/><Relationship Id="rId18" Type="http://schemas.openxmlformats.org/officeDocument/2006/relationships/hyperlink" Target="mailto:nccawareness@abcb.gov.a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cc@abcb.gov.au" TargetMode="External"/><Relationship Id="rId17" Type="http://schemas.openxmlformats.org/officeDocument/2006/relationships/hyperlink" Target="mailto:nccawareness@abcb.gov.au" TargetMode="External"/><Relationship Id="rId2" Type="http://schemas.openxmlformats.org/officeDocument/2006/relationships/numbering" Target="numbering.xml"/><Relationship Id="rId16" Type="http://schemas.openxmlformats.org/officeDocument/2006/relationships/hyperlink" Target="mailto:nccawareness@abcb.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4.0/legal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bcb.gov.au/Footer/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duhdblog.files.wordpress.com/2016/05/accessibility-in-housing-abcb-proposal-with-insets.pdf" TargetMode="External"/><Relationship Id="rId2" Type="http://schemas.openxmlformats.org/officeDocument/2006/relationships/hyperlink" Target="https://anuhd.org/2017/09/12/achievements-by-states-and-territories/" TargetMode="External"/><Relationship Id="rId1" Type="http://schemas.openxmlformats.org/officeDocument/2006/relationships/hyperlink" Target="https://www.dss.gov.au/our-responsibilities/disability-and-carers/programmes-services/government-international/disability-reform-council" TargetMode="External"/><Relationship Id="rId5" Type="http://schemas.openxmlformats.org/officeDocument/2006/relationships/hyperlink" Target="https://anuhd.org/" TargetMode="External"/><Relationship Id="rId4" Type="http://schemas.openxmlformats.org/officeDocument/2006/relationships/hyperlink" Target="https://aduhdblog.files.wordpress.com/2018/05/anuhd_survey_report-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2663A5FA5F472283889B58343D13E5"/>
        <w:category>
          <w:name w:val="General"/>
          <w:gallery w:val="placeholder"/>
        </w:category>
        <w:types>
          <w:type w:val="bbPlcHdr"/>
        </w:types>
        <w:behaviors>
          <w:behavior w:val="content"/>
        </w:behaviors>
        <w:guid w:val="{1DDC6ABE-E7BF-44F0-9039-A17AB388F54A}"/>
      </w:docPartPr>
      <w:docPartBody>
        <w:p w:rsidR="00F06406" w:rsidRDefault="00F06406" w:rsidP="00F06406">
          <w:pPr>
            <w:pStyle w:val="452663A5FA5F472283889B58343D13E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90DE4EE086814E3992099CE9D2D62ED0"/>
        <w:category>
          <w:name w:val="General"/>
          <w:gallery w:val="placeholder"/>
        </w:category>
        <w:types>
          <w:type w:val="bbPlcHdr"/>
        </w:types>
        <w:behaviors>
          <w:behavior w:val="content"/>
        </w:behaviors>
        <w:guid w:val="{4B10FBBF-93FB-41D7-83A3-E7192A61B485}"/>
      </w:docPartPr>
      <w:docPartBody>
        <w:p w:rsidR="00F06406" w:rsidRDefault="00F06406" w:rsidP="00F06406">
          <w:pPr>
            <w:pStyle w:val="90DE4EE086814E3992099CE9D2D62ED0"/>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C255FCDACFD54F8DB77266D060817E2F"/>
        <w:category>
          <w:name w:val="General"/>
          <w:gallery w:val="placeholder"/>
        </w:category>
        <w:types>
          <w:type w:val="bbPlcHdr"/>
        </w:types>
        <w:behaviors>
          <w:behavior w:val="content"/>
        </w:behaviors>
        <w:guid w:val="{D34199FA-A827-4E03-90D2-70FC6BB99924}"/>
      </w:docPartPr>
      <w:docPartBody>
        <w:p w:rsidR="00F06406" w:rsidRDefault="00F06406" w:rsidP="00F06406">
          <w:pPr>
            <w:pStyle w:val="C255FCDACFD54F8DB77266D060817E2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9EE2FF6C07E64403A3EF6BF423D88D8D"/>
        <w:category>
          <w:name w:val="General"/>
          <w:gallery w:val="placeholder"/>
        </w:category>
        <w:types>
          <w:type w:val="bbPlcHdr"/>
        </w:types>
        <w:behaviors>
          <w:behavior w:val="content"/>
        </w:behaviors>
        <w:guid w:val="{5D1850AB-FE00-4C94-A4E0-D1797ED2E9D6}"/>
      </w:docPartPr>
      <w:docPartBody>
        <w:p w:rsidR="00F06406" w:rsidRDefault="00F06406" w:rsidP="00F06406">
          <w:pPr>
            <w:pStyle w:val="9EE2FF6C07E64403A3EF6BF423D88D8D"/>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23817AC293A4033ADD142B09BE8FEA3"/>
        <w:category>
          <w:name w:val="General"/>
          <w:gallery w:val="placeholder"/>
        </w:category>
        <w:types>
          <w:type w:val="bbPlcHdr"/>
        </w:types>
        <w:behaviors>
          <w:behavior w:val="content"/>
        </w:behaviors>
        <w:guid w:val="{07095388-F6F5-4755-BB2C-50F15A63E0B7}"/>
      </w:docPartPr>
      <w:docPartBody>
        <w:p w:rsidR="00F06406" w:rsidRDefault="00F06406" w:rsidP="00F06406">
          <w:pPr>
            <w:pStyle w:val="823817AC293A4033ADD142B09BE8FEA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7F3059DED7B4A808C0627A73C1A3E28"/>
        <w:category>
          <w:name w:val="General"/>
          <w:gallery w:val="placeholder"/>
        </w:category>
        <w:types>
          <w:type w:val="bbPlcHdr"/>
        </w:types>
        <w:behaviors>
          <w:behavior w:val="content"/>
        </w:behaviors>
        <w:guid w:val="{118C834B-1F4E-4811-82F1-E4986F99758D}"/>
      </w:docPartPr>
      <w:docPartBody>
        <w:p w:rsidR="00F06406" w:rsidRDefault="00F06406" w:rsidP="00F06406">
          <w:pPr>
            <w:pStyle w:val="87F3059DED7B4A808C0627A73C1A3E2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FD1CEC9ECF4E47C8ADC48F5AB1C97CE4"/>
        <w:category>
          <w:name w:val="General"/>
          <w:gallery w:val="placeholder"/>
        </w:category>
        <w:types>
          <w:type w:val="bbPlcHdr"/>
        </w:types>
        <w:behaviors>
          <w:behavior w:val="content"/>
        </w:behaviors>
        <w:guid w:val="{B0F98099-CD03-48DF-AFD0-94FEEAC8FACC}"/>
      </w:docPartPr>
      <w:docPartBody>
        <w:p w:rsidR="00F06406" w:rsidRDefault="00F06406" w:rsidP="00F06406">
          <w:pPr>
            <w:pStyle w:val="FD1CEC9ECF4E47C8ADC48F5AB1C97CE4"/>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F6DB1D13626E40CFA02F79A33D8279FA"/>
        <w:category>
          <w:name w:val="General"/>
          <w:gallery w:val="placeholder"/>
        </w:category>
        <w:types>
          <w:type w:val="bbPlcHdr"/>
        </w:types>
        <w:behaviors>
          <w:behavior w:val="content"/>
        </w:behaviors>
        <w:guid w:val="{B4684F5C-0769-4510-B8D3-42FF0314B59C}"/>
      </w:docPartPr>
      <w:docPartBody>
        <w:p w:rsidR="00F06406" w:rsidRDefault="00F06406" w:rsidP="00F06406">
          <w:pPr>
            <w:pStyle w:val="F6DB1D13626E40CFA02F79A33D8279FA"/>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58C05CD18BBD4DE88A1A094E3B40BEB6"/>
        <w:category>
          <w:name w:val="General"/>
          <w:gallery w:val="placeholder"/>
        </w:category>
        <w:types>
          <w:type w:val="bbPlcHdr"/>
        </w:types>
        <w:behaviors>
          <w:behavior w:val="content"/>
        </w:behaviors>
        <w:guid w:val="{53D1CB15-A652-4F4E-AF00-DE2993AFB24B}"/>
      </w:docPartPr>
      <w:docPartBody>
        <w:p w:rsidR="00F06406" w:rsidRDefault="00F06406" w:rsidP="00F06406">
          <w:pPr>
            <w:pStyle w:val="58C05CD18BBD4DE88A1A094E3B40BEB6"/>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F081AD2593748808C0EF58434F4AF8A"/>
        <w:category>
          <w:name w:val="General"/>
          <w:gallery w:val="placeholder"/>
        </w:category>
        <w:types>
          <w:type w:val="bbPlcHdr"/>
        </w:types>
        <w:behaviors>
          <w:behavior w:val="content"/>
        </w:behaviors>
        <w:guid w:val="{815C04BF-A439-41CB-B058-86A047D8F32F}"/>
      </w:docPartPr>
      <w:docPartBody>
        <w:p w:rsidR="00F06406" w:rsidRDefault="00F06406" w:rsidP="00F06406">
          <w:pPr>
            <w:pStyle w:val="8F081AD2593748808C0EF58434F4AF8A"/>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3A859AFFA25D449A8D644CDE6A33F721"/>
        <w:category>
          <w:name w:val="General"/>
          <w:gallery w:val="placeholder"/>
        </w:category>
        <w:types>
          <w:type w:val="bbPlcHdr"/>
        </w:types>
        <w:behaviors>
          <w:behavior w:val="content"/>
        </w:behaviors>
        <w:guid w:val="{C82D5582-669E-4D52-BD10-BE7DB28DD7B3}"/>
      </w:docPartPr>
      <w:docPartBody>
        <w:p w:rsidR="00F06406" w:rsidRDefault="00F06406" w:rsidP="00F06406">
          <w:pPr>
            <w:pStyle w:val="3A859AFFA25D449A8D644CDE6A33F72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19C0269D9D1146AD86F49A6827905EDB"/>
        <w:category>
          <w:name w:val="General"/>
          <w:gallery w:val="placeholder"/>
        </w:category>
        <w:types>
          <w:type w:val="bbPlcHdr"/>
        </w:types>
        <w:behaviors>
          <w:behavior w:val="content"/>
        </w:behaviors>
        <w:guid w:val="{18819088-F27F-43F6-9131-677195910201}"/>
      </w:docPartPr>
      <w:docPartBody>
        <w:p w:rsidR="00F06406" w:rsidRDefault="00F06406" w:rsidP="00F06406">
          <w:pPr>
            <w:pStyle w:val="19C0269D9D1146AD86F49A6827905EDB"/>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4DAE57927F0543488762179CDC93814F"/>
        <w:category>
          <w:name w:val="General"/>
          <w:gallery w:val="placeholder"/>
        </w:category>
        <w:types>
          <w:type w:val="bbPlcHdr"/>
        </w:types>
        <w:behaviors>
          <w:behavior w:val="content"/>
        </w:behaviors>
        <w:guid w:val="{4935F723-B0DE-4E19-89A1-65FDE91E22B7}"/>
      </w:docPartPr>
      <w:docPartBody>
        <w:p w:rsidR="00F06406" w:rsidRDefault="00F06406" w:rsidP="00F06406">
          <w:pPr>
            <w:pStyle w:val="4DAE57927F0543488762179CDC93814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9D535D28DABD4540BE2C6E36288E9732"/>
        <w:category>
          <w:name w:val="General"/>
          <w:gallery w:val="placeholder"/>
        </w:category>
        <w:types>
          <w:type w:val="bbPlcHdr"/>
        </w:types>
        <w:behaviors>
          <w:behavior w:val="content"/>
        </w:behaviors>
        <w:guid w:val="{BE216879-E788-4C12-8563-2DCBB7B3BB51}"/>
      </w:docPartPr>
      <w:docPartBody>
        <w:p w:rsidR="00F06406" w:rsidRDefault="00F06406" w:rsidP="00F06406">
          <w:pPr>
            <w:pStyle w:val="9D535D28DABD4540BE2C6E36288E9732"/>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32BA74D46D614325A875B8744749AAB3"/>
        <w:category>
          <w:name w:val="General"/>
          <w:gallery w:val="placeholder"/>
        </w:category>
        <w:types>
          <w:type w:val="bbPlcHdr"/>
        </w:types>
        <w:behaviors>
          <w:behavior w:val="content"/>
        </w:behaviors>
        <w:guid w:val="{EC0CBF58-0AC0-4E7F-ABDE-45E92FD91AD4}"/>
      </w:docPartPr>
      <w:docPartBody>
        <w:p w:rsidR="008A7CE1" w:rsidRDefault="00F06406" w:rsidP="00F06406">
          <w:pPr>
            <w:pStyle w:val="32BA74D46D614325A875B8744749AAB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5BFB2AC051684FFFA789D1E8654DD6C8"/>
        <w:category>
          <w:name w:val="General"/>
          <w:gallery w:val="placeholder"/>
        </w:category>
        <w:types>
          <w:type w:val="bbPlcHdr"/>
        </w:types>
        <w:behaviors>
          <w:behavior w:val="content"/>
        </w:behaviors>
        <w:guid w:val="{A67C7964-3293-450C-B075-8D4B9CD48888}"/>
      </w:docPartPr>
      <w:docPartBody>
        <w:p w:rsidR="008A7CE1" w:rsidRDefault="00F06406" w:rsidP="00F06406">
          <w:pPr>
            <w:pStyle w:val="5BFB2AC051684FFFA789D1E8654DD6C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BCD3A698E6B648E6BDE1B73B7615F265"/>
        <w:category>
          <w:name w:val="General"/>
          <w:gallery w:val="placeholder"/>
        </w:category>
        <w:types>
          <w:type w:val="bbPlcHdr"/>
        </w:types>
        <w:behaviors>
          <w:behavior w:val="content"/>
        </w:behaviors>
        <w:guid w:val="{9C865E6F-AA22-4625-A3D2-6D1F0F05E81D}"/>
      </w:docPartPr>
      <w:docPartBody>
        <w:p w:rsidR="008A7CE1" w:rsidRDefault="00F06406" w:rsidP="00F06406">
          <w:pPr>
            <w:pStyle w:val="BCD3A698E6B648E6BDE1B73B7615F26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3868780897A64CBCAFD2DB9771CB2DBA"/>
        <w:category>
          <w:name w:val="General"/>
          <w:gallery w:val="placeholder"/>
        </w:category>
        <w:types>
          <w:type w:val="bbPlcHdr"/>
        </w:types>
        <w:behaviors>
          <w:behavior w:val="content"/>
        </w:behaviors>
        <w:guid w:val="{9B89C3F3-A003-43B8-BED3-B1066F68B680}"/>
      </w:docPartPr>
      <w:docPartBody>
        <w:p w:rsidR="008A7CE1" w:rsidRDefault="00F06406" w:rsidP="00F06406">
          <w:pPr>
            <w:pStyle w:val="3868780897A64CBCAFD2DB9771CB2DBA"/>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54C486ED94FC47ABBE301CAE0A25A628"/>
        <w:category>
          <w:name w:val="General"/>
          <w:gallery w:val="placeholder"/>
        </w:category>
        <w:types>
          <w:type w:val="bbPlcHdr"/>
        </w:types>
        <w:behaviors>
          <w:behavior w:val="content"/>
        </w:behaviors>
        <w:guid w:val="{175AE494-1E75-4898-A44C-13331A586DCF}"/>
      </w:docPartPr>
      <w:docPartBody>
        <w:p w:rsidR="008A7CE1" w:rsidRDefault="00F06406" w:rsidP="00F06406">
          <w:pPr>
            <w:pStyle w:val="54C486ED94FC47ABBE301CAE0A25A62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E31E7223900D43ED9412DF51FA0C0873"/>
        <w:category>
          <w:name w:val="General"/>
          <w:gallery w:val="placeholder"/>
        </w:category>
        <w:types>
          <w:type w:val="bbPlcHdr"/>
        </w:types>
        <w:behaviors>
          <w:behavior w:val="content"/>
        </w:behaviors>
        <w:guid w:val="{7B884BEF-59DA-42F4-8197-1281DCAD31BD}"/>
      </w:docPartPr>
      <w:docPartBody>
        <w:p w:rsidR="008A7CE1" w:rsidRDefault="00F06406" w:rsidP="00F06406">
          <w:pPr>
            <w:pStyle w:val="E31E7223900D43ED9412DF51FA0C087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2C86A657E4F49E984BC8269A3AD8999"/>
        <w:category>
          <w:name w:val="General"/>
          <w:gallery w:val="placeholder"/>
        </w:category>
        <w:types>
          <w:type w:val="bbPlcHdr"/>
        </w:types>
        <w:behaviors>
          <w:behavior w:val="content"/>
        </w:behaviors>
        <w:guid w:val="{88CAA8DC-62E8-405E-ACF5-1049DF0BB2D1}"/>
      </w:docPartPr>
      <w:docPartBody>
        <w:p w:rsidR="008A7CE1" w:rsidRDefault="00F06406" w:rsidP="00F06406">
          <w:pPr>
            <w:pStyle w:val="82C86A657E4F49E984BC8269A3AD8999"/>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4FE8A1256C3476A85C9517620A3C14F"/>
        <w:category>
          <w:name w:val="General"/>
          <w:gallery w:val="placeholder"/>
        </w:category>
        <w:types>
          <w:type w:val="bbPlcHdr"/>
        </w:types>
        <w:behaviors>
          <w:behavior w:val="content"/>
        </w:behaviors>
        <w:guid w:val="{F8B47478-CA8E-44D3-BFE7-5E544F6BF1A5}"/>
      </w:docPartPr>
      <w:docPartBody>
        <w:p w:rsidR="008A7CE1" w:rsidRDefault="00F06406" w:rsidP="00F06406">
          <w:pPr>
            <w:pStyle w:val="84FE8A1256C3476A85C9517620A3C14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06"/>
    <w:rsid w:val="001F1FF8"/>
    <w:rsid w:val="0028117C"/>
    <w:rsid w:val="002A6210"/>
    <w:rsid w:val="003C34C7"/>
    <w:rsid w:val="003E3D7D"/>
    <w:rsid w:val="005B407B"/>
    <w:rsid w:val="005E3CA4"/>
    <w:rsid w:val="005F69EA"/>
    <w:rsid w:val="006D66B2"/>
    <w:rsid w:val="00896FDB"/>
    <w:rsid w:val="008A7CE1"/>
    <w:rsid w:val="008C5180"/>
    <w:rsid w:val="00950067"/>
    <w:rsid w:val="009A237C"/>
    <w:rsid w:val="00B93E43"/>
    <w:rsid w:val="00CB1D3E"/>
    <w:rsid w:val="00D05834"/>
    <w:rsid w:val="00D978B4"/>
    <w:rsid w:val="00E62CBA"/>
    <w:rsid w:val="00F06406"/>
    <w:rsid w:val="00F84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406"/>
    <w:rPr>
      <w:color w:val="808080"/>
    </w:rPr>
  </w:style>
  <w:style w:type="paragraph" w:customStyle="1" w:styleId="20B43CD9F1B9440894116DACF1BF571B">
    <w:name w:val="20B43CD9F1B9440894116DACF1BF571B"/>
    <w:rsid w:val="00F06406"/>
  </w:style>
  <w:style w:type="paragraph" w:customStyle="1" w:styleId="452663A5FA5F472283889B58343D13E5">
    <w:name w:val="452663A5FA5F472283889B58343D13E5"/>
    <w:rsid w:val="00F06406"/>
  </w:style>
  <w:style w:type="paragraph" w:customStyle="1" w:styleId="90DE4EE086814E3992099CE9D2D62ED0">
    <w:name w:val="90DE4EE086814E3992099CE9D2D62ED0"/>
    <w:rsid w:val="00F06406"/>
  </w:style>
  <w:style w:type="paragraph" w:customStyle="1" w:styleId="C255FCDACFD54F8DB77266D060817E2F">
    <w:name w:val="C255FCDACFD54F8DB77266D060817E2F"/>
    <w:rsid w:val="00F06406"/>
  </w:style>
  <w:style w:type="paragraph" w:customStyle="1" w:styleId="DEE42CA0D21B41F294BD48992D4DC858">
    <w:name w:val="DEE42CA0D21B41F294BD48992D4DC858"/>
    <w:rsid w:val="00F06406"/>
  </w:style>
  <w:style w:type="paragraph" w:customStyle="1" w:styleId="9EE2FF6C07E64403A3EF6BF423D88D8D">
    <w:name w:val="9EE2FF6C07E64403A3EF6BF423D88D8D"/>
    <w:rsid w:val="00F06406"/>
  </w:style>
  <w:style w:type="paragraph" w:customStyle="1" w:styleId="823817AC293A4033ADD142B09BE8FEA3">
    <w:name w:val="823817AC293A4033ADD142B09BE8FEA3"/>
    <w:rsid w:val="00F06406"/>
  </w:style>
  <w:style w:type="paragraph" w:customStyle="1" w:styleId="87F3059DED7B4A808C0627A73C1A3E28">
    <w:name w:val="87F3059DED7B4A808C0627A73C1A3E28"/>
    <w:rsid w:val="00F06406"/>
  </w:style>
  <w:style w:type="paragraph" w:customStyle="1" w:styleId="FD1CEC9ECF4E47C8ADC48F5AB1C97CE4">
    <w:name w:val="FD1CEC9ECF4E47C8ADC48F5AB1C97CE4"/>
    <w:rsid w:val="00F06406"/>
  </w:style>
  <w:style w:type="paragraph" w:customStyle="1" w:styleId="F6DB1D13626E40CFA02F79A33D8279FA">
    <w:name w:val="F6DB1D13626E40CFA02F79A33D8279FA"/>
    <w:rsid w:val="00F06406"/>
  </w:style>
  <w:style w:type="paragraph" w:customStyle="1" w:styleId="58C05CD18BBD4DE88A1A094E3B40BEB6">
    <w:name w:val="58C05CD18BBD4DE88A1A094E3B40BEB6"/>
    <w:rsid w:val="00F06406"/>
  </w:style>
  <w:style w:type="paragraph" w:customStyle="1" w:styleId="8F081AD2593748808C0EF58434F4AF8A">
    <w:name w:val="8F081AD2593748808C0EF58434F4AF8A"/>
    <w:rsid w:val="00F06406"/>
  </w:style>
  <w:style w:type="paragraph" w:customStyle="1" w:styleId="3A859AFFA25D449A8D644CDE6A33F721">
    <w:name w:val="3A859AFFA25D449A8D644CDE6A33F721"/>
    <w:rsid w:val="00F06406"/>
  </w:style>
  <w:style w:type="paragraph" w:customStyle="1" w:styleId="19C0269D9D1146AD86F49A6827905EDB">
    <w:name w:val="19C0269D9D1146AD86F49A6827905EDB"/>
    <w:rsid w:val="00F06406"/>
  </w:style>
  <w:style w:type="paragraph" w:customStyle="1" w:styleId="4DAE57927F0543488762179CDC93814F">
    <w:name w:val="4DAE57927F0543488762179CDC93814F"/>
    <w:rsid w:val="00F06406"/>
  </w:style>
  <w:style w:type="paragraph" w:customStyle="1" w:styleId="9D535D28DABD4540BE2C6E36288E9732">
    <w:name w:val="9D535D28DABD4540BE2C6E36288E9732"/>
    <w:rsid w:val="00F06406"/>
  </w:style>
  <w:style w:type="paragraph" w:customStyle="1" w:styleId="32BA74D46D614325A875B8744749AAB3">
    <w:name w:val="32BA74D46D614325A875B8744749AAB3"/>
    <w:rsid w:val="00F06406"/>
  </w:style>
  <w:style w:type="paragraph" w:customStyle="1" w:styleId="5BFB2AC051684FFFA789D1E8654DD6C8">
    <w:name w:val="5BFB2AC051684FFFA789D1E8654DD6C8"/>
    <w:rsid w:val="00F06406"/>
  </w:style>
  <w:style w:type="paragraph" w:customStyle="1" w:styleId="BCD3A698E6B648E6BDE1B73B7615F265">
    <w:name w:val="BCD3A698E6B648E6BDE1B73B7615F265"/>
    <w:rsid w:val="00F06406"/>
  </w:style>
  <w:style w:type="paragraph" w:customStyle="1" w:styleId="3868780897A64CBCAFD2DB9771CB2DBA">
    <w:name w:val="3868780897A64CBCAFD2DB9771CB2DBA"/>
    <w:rsid w:val="00F06406"/>
  </w:style>
  <w:style w:type="paragraph" w:customStyle="1" w:styleId="54C486ED94FC47ABBE301CAE0A25A628">
    <w:name w:val="54C486ED94FC47ABBE301CAE0A25A628"/>
    <w:rsid w:val="00F06406"/>
  </w:style>
  <w:style w:type="paragraph" w:customStyle="1" w:styleId="E31E7223900D43ED9412DF51FA0C0873">
    <w:name w:val="E31E7223900D43ED9412DF51FA0C0873"/>
    <w:rsid w:val="00F06406"/>
  </w:style>
  <w:style w:type="paragraph" w:customStyle="1" w:styleId="82C86A657E4F49E984BC8269A3AD8999">
    <w:name w:val="82C86A657E4F49E984BC8269A3AD8999"/>
    <w:rsid w:val="00F06406"/>
  </w:style>
  <w:style w:type="paragraph" w:customStyle="1" w:styleId="84FE8A1256C3476A85C9517620A3C14F">
    <w:name w:val="84FE8A1256C3476A85C9517620A3C14F"/>
    <w:rsid w:val="00F06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1338-8CB3-4E44-8686-7EE458C4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13021</Words>
  <Characters>74222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2018-09-28T06:25:00Z</dcterms:created>
  <dcterms:modified xsi:type="dcterms:W3CDTF">2018-09-28T06:25:00Z</dcterms:modified>
</cp:coreProperties>
</file>