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5DBCA" w14:textId="77777777" w:rsidR="00BF2F17" w:rsidRPr="00BF2F17" w:rsidRDefault="00BF2F17" w:rsidP="00BF2F17">
      <w:pPr>
        <w:jc w:val="center"/>
        <w:rPr>
          <w:b/>
          <w:sz w:val="26"/>
          <w:szCs w:val="26"/>
        </w:rPr>
      </w:pPr>
      <w:r w:rsidRPr="00BF2F17">
        <w:rPr>
          <w:b/>
          <w:noProof/>
          <w:sz w:val="26"/>
          <w:szCs w:val="26"/>
          <w:lang w:eastAsia="en-AU"/>
        </w:rPr>
        <w:drawing>
          <wp:anchor distT="0" distB="0" distL="114300" distR="114300" simplePos="0" relativeHeight="251658240" behindDoc="1" locked="0" layoutInCell="1" allowOverlap="1" wp14:anchorId="3EA9175C" wp14:editId="77F1FB8F">
            <wp:simplePos x="0" y="0"/>
            <wp:positionH relativeFrom="column">
              <wp:posOffset>2066925</wp:posOffset>
            </wp:positionH>
            <wp:positionV relativeFrom="paragraph">
              <wp:posOffset>0</wp:posOffset>
            </wp:positionV>
            <wp:extent cx="1247775" cy="1151890"/>
            <wp:effectExtent l="0" t="0" r="9525" b="0"/>
            <wp:wrapThrough wrapText="bothSides">
              <wp:wrapPolygon edited="0">
                <wp:start x="0" y="0"/>
                <wp:lineTo x="0" y="21076"/>
                <wp:lineTo x="21435" y="21076"/>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DA logo resized for web.png"/>
                    <pic:cNvPicPr/>
                  </pic:nvPicPr>
                  <pic:blipFill>
                    <a:blip r:embed="rId5">
                      <a:extLst>
                        <a:ext uri="{28A0092B-C50C-407E-A947-70E740481C1C}">
                          <a14:useLocalDpi xmlns:a14="http://schemas.microsoft.com/office/drawing/2010/main" val="0"/>
                        </a:ext>
                      </a:extLst>
                    </a:blip>
                    <a:stretch>
                      <a:fillRect/>
                    </a:stretch>
                  </pic:blipFill>
                  <pic:spPr>
                    <a:xfrm>
                      <a:off x="0" y="0"/>
                      <a:ext cx="1247775" cy="1151890"/>
                    </a:xfrm>
                    <a:prstGeom prst="rect">
                      <a:avLst/>
                    </a:prstGeom>
                  </pic:spPr>
                </pic:pic>
              </a:graphicData>
            </a:graphic>
          </wp:anchor>
        </w:drawing>
      </w:r>
    </w:p>
    <w:p w14:paraId="50AD8E3A" w14:textId="77777777" w:rsidR="00BF2F17" w:rsidRPr="00BF2F17" w:rsidRDefault="00BF2F17" w:rsidP="00BF2F17">
      <w:pPr>
        <w:jc w:val="center"/>
        <w:rPr>
          <w:b/>
          <w:sz w:val="26"/>
          <w:szCs w:val="26"/>
        </w:rPr>
      </w:pPr>
    </w:p>
    <w:p w14:paraId="2D36299A" w14:textId="77777777" w:rsidR="00BF2F17" w:rsidRPr="00BF2F17" w:rsidRDefault="00BF2F17" w:rsidP="00C61514">
      <w:pPr>
        <w:rPr>
          <w:b/>
          <w:sz w:val="26"/>
          <w:szCs w:val="26"/>
        </w:rPr>
      </w:pPr>
    </w:p>
    <w:p w14:paraId="11E6CD51" w14:textId="77777777" w:rsidR="00BF2F17" w:rsidRPr="00BF2F17" w:rsidRDefault="00BF2F17" w:rsidP="00C61514">
      <w:pPr>
        <w:rPr>
          <w:b/>
          <w:sz w:val="26"/>
          <w:szCs w:val="26"/>
        </w:rPr>
      </w:pPr>
    </w:p>
    <w:p w14:paraId="5E5F6421" w14:textId="77777777" w:rsidR="00BF2F17" w:rsidRDefault="00BF2F17" w:rsidP="008E163C">
      <w:pPr>
        <w:spacing w:after="240"/>
        <w:jc w:val="center"/>
        <w:rPr>
          <w:b/>
          <w:sz w:val="26"/>
          <w:szCs w:val="26"/>
        </w:rPr>
      </w:pPr>
      <w:r>
        <w:rPr>
          <w:b/>
          <w:sz w:val="26"/>
          <w:szCs w:val="26"/>
        </w:rPr>
        <w:t>MEMBER AND SUPPORTER UPDATES 2018</w:t>
      </w:r>
    </w:p>
    <w:p w14:paraId="0C913FAD" w14:textId="77777777" w:rsidR="00C61514" w:rsidRPr="00BF2F17" w:rsidRDefault="00C61514" w:rsidP="00C61514">
      <w:pPr>
        <w:rPr>
          <w:sz w:val="26"/>
          <w:szCs w:val="26"/>
        </w:rPr>
      </w:pPr>
      <w:r w:rsidRPr="00BF2F17">
        <w:rPr>
          <w:b/>
          <w:sz w:val="26"/>
          <w:szCs w:val="26"/>
        </w:rPr>
        <w:t>Newsletter advertising</w:t>
      </w:r>
      <w:r w:rsidRPr="00BF2F17">
        <w:rPr>
          <w:sz w:val="26"/>
          <w:szCs w:val="26"/>
        </w:rPr>
        <w:t>:  We will accept one advertisement per newsletter of latest posts. Advertising material that is not relevant to CUDA’s aims of providing relevant information on inclusion and universal design will not be accepted. CUDA is committed to keeping the newsletter and website as open access but at the same time recognises the need to generate income. The survey results indicated this was a suitable way to proceed.</w:t>
      </w:r>
    </w:p>
    <w:p w14:paraId="3B4482B9" w14:textId="06634109" w:rsidR="00C61514" w:rsidRPr="00BF2F17" w:rsidRDefault="00C61514" w:rsidP="00C61514">
      <w:pPr>
        <w:rPr>
          <w:sz w:val="26"/>
          <w:szCs w:val="26"/>
        </w:rPr>
      </w:pPr>
      <w:r w:rsidRPr="00BF2F17">
        <w:rPr>
          <w:b/>
          <w:sz w:val="26"/>
          <w:szCs w:val="26"/>
        </w:rPr>
        <w:t>Life</w:t>
      </w:r>
      <w:r w:rsidR="00EC3A98">
        <w:rPr>
          <w:b/>
          <w:sz w:val="26"/>
          <w:szCs w:val="26"/>
        </w:rPr>
        <w:t>time</w:t>
      </w:r>
      <w:bookmarkStart w:id="0" w:name="_GoBack"/>
      <w:bookmarkEnd w:id="0"/>
      <w:r w:rsidRPr="00BF2F17">
        <w:rPr>
          <w:b/>
          <w:sz w:val="26"/>
          <w:szCs w:val="26"/>
        </w:rPr>
        <w:t xml:space="preserve"> Membership</w:t>
      </w:r>
      <w:r w:rsidRPr="00BF2F17">
        <w:rPr>
          <w:sz w:val="26"/>
          <w:szCs w:val="26"/>
        </w:rPr>
        <w:t xml:space="preserve"> will be offered to individuals for $100 plus GST. This will simplify administration for both CUDA and members by signing up once only. All individual members will be eligible to use the CUDA logo as “Member” on digital stationery.</w:t>
      </w:r>
    </w:p>
    <w:p w14:paraId="4E57D9DC" w14:textId="3F0C2973" w:rsidR="00C61514" w:rsidRPr="00BF2F17" w:rsidRDefault="00C61514" w:rsidP="00C61514">
      <w:pPr>
        <w:rPr>
          <w:sz w:val="26"/>
          <w:szCs w:val="26"/>
        </w:rPr>
      </w:pPr>
      <w:r w:rsidRPr="00BF2F17">
        <w:rPr>
          <w:b/>
          <w:sz w:val="26"/>
          <w:szCs w:val="26"/>
        </w:rPr>
        <w:t>Corporate Membership</w:t>
      </w:r>
      <w:r w:rsidRPr="00BF2F17">
        <w:rPr>
          <w:sz w:val="26"/>
          <w:szCs w:val="26"/>
        </w:rPr>
        <w:t xml:space="preserve"> will now be offered for $200 plus GST</w:t>
      </w:r>
      <w:r w:rsidR="006A0857">
        <w:rPr>
          <w:sz w:val="26"/>
          <w:szCs w:val="26"/>
        </w:rPr>
        <w:t xml:space="preserve"> </w:t>
      </w:r>
      <w:r w:rsidRPr="00BF2F17">
        <w:rPr>
          <w:sz w:val="26"/>
          <w:szCs w:val="26"/>
        </w:rPr>
        <w:t xml:space="preserve">per annum for businesses and organisations </w:t>
      </w:r>
      <w:r w:rsidR="006A0857">
        <w:rPr>
          <w:sz w:val="26"/>
          <w:szCs w:val="26"/>
        </w:rPr>
        <w:t xml:space="preserve">allowing for </w:t>
      </w:r>
      <w:r w:rsidRPr="00BF2F17">
        <w:rPr>
          <w:sz w:val="26"/>
          <w:szCs w:val="26"/>
        </w:rPr>
        <w:t>up to 10 staff. All corporate members will be eligible to use the CUDA logo as “Corporate Member” on digital stationery. Corporate members will be allowed one vote at meetings.</w:t>
      </w:r>
    </w:p>
    <w:p w14:paraId="1B4DA0EB" w14:textId="6C822AA9" w:rsidR="00C61514" w:rsidRPr="00BF2F17" w:rsidRDefault="00C61514" w:rsidP="00C61514">
      <w:pPr>
        <w:rPr>
          <w:sz w:val="26"/>
          <w:szCs w:val="26"/>
        </w:rPr>
      </w:pPr>
      <w:r w:rsidRPr="00BF2F17">
        <w:rPr>
          <w:sz w:val="26"/>
          <w:szCs w:val="26"/>
        </w:rPr>
        <w:t>To protect the use and misuse of the logo, members and corporate member</w:t>
      </w:r>
      <w:r w:rsidR="00360FDA">
        <w:rPr>
          <w:sz w:val="26"/>
          <w:szCs w:val="26"/>
        </w:rPr>
        <w:t>s</w:t>
      </w:r>
      <w:r w:rsidRPr="00BF2F17">
        <w:rPr>
          <w:sz w:val="26"/>
          <w:szCs w:val="26"/>
        </w:rPr>
        <w:t xml:space="preserve"> will be asked to sign an agreement to use the logo responsibly before being provided with the appropriate logo.</w:t>
      </w:r>
    </w:p>
    <w:p w14:paraId="0C23229A" w14:textId="77777777" w:rsidR="00C61514" w:rsidRPr="00BF2F17" w:rsidRDefault="00C61514" w:rsidP="00C61514">
      <w:pPr>
        <w:rPr>
          <w:sz w:val="26"/>
          <w:szCs w:val="26"/>
        </w:rPr>
      </w:pPr>
      <w:r w:rsidRPr="00BF2F17">
        <w:rPr>
          <w:b/>
          <w:sz w:val="26"/>
          <w:szCs w:val="26"/>
        </w:rPr>
        <w:t>Collaboration:</w:t>
      </w:r>
      <w:r w:rsidRPr="00BF2F17">
        <w:rPr>
          <w:sz w:val="26"/>
          <w:szCs w:val="26"/>
        </w:rPr>
        <w:t xml:space="preserve"> Survey responses indicated that some members </w:t>
      </w:r>
      <w:r w:rsidR="00BF2F17" w:rsidRPr="00BF2F17">
        <w:rPr>
          <w:sz w:val="26"/>
          <w:szCs w:val="26"/>
        </w:rPr>
        <w:t xml:space="preserve">and supporters </w:t>
      </w:r>
      <w:r w:rsidRPr="00BF2F17">
        <w:rPr>
          <w:sz w:val="26"/>
          <w:szCs w:val="26"/>
        </w:rPr>
        <w:t>would like more opportunities for collaboration. CUDA is open to collaborative opportunities with individuals and organisation</w:t>
      </w:r>
      <w:r w:rsidR="00BF2F17" w:rsidRPr="00BF2F17">
        <w:rPr>
          <w:sz w:val="26"/>
          <w:szCs w:val="26"/>
        </w:rPr>
        <w:t>s</w:t>
      </w:r>
      <w:r w:rsidRPr="00BF2F17">
        <w:rPr>
          <w:sz w:val="26"/>
          <w:szCs w:val="26"/>
        </w:rPr>
        <w:t xml:space="preserve">. This could be contributing towards tasks that keep CUDA operating, </w:t>
      </w:r>
      <w:r w:rsidR="00BF2F17" w:rsidRPr="00BF2F17">
        <w:rPr>
          <w:sz w:val="26"/>
          <w:szCs w:val="26"/>
        </w:rPr>
        <w:t>joining the board, or sharing secretariat tasks and website maintenance.</w:t>
      </w:r>
    </w:p>
    <w:p w14:paraId="3AF32F82" w14:textId="7EB006BC" w:rsidR="00BF2F17" w:rsidRPr="00BF2F17" w:rsidRDefault="00BF2F17" w:rsidP="00C61514">
      <w:pPr>
        <w:rPr>
          <w:sz w:val="26"/>
          <w:szCs w:val="26"/>
        </w:rPr>
      </w:pPr>
      <w:r w:rsidRPr="00BF2F17">
        <w:rPr>
          <w:b/>
          <w:sz w:val="26"/>
          <w:szCs w:val="26"/>
        </w:rPr>
        <w:t>Preferred way to receive information:</w:t>
      </w:r>
      <w:r w:rsidRPr="00BF2F17">
        <w:rPr>
          <w:sz w:val="26"/>
          <w:szCs w:val="26"/>
        </w:rPr>
        <w:t xml:space="preserve"> </w:t>
      </w:r>
      <w:r w:rsidR="006A0857">
        <w:rPr>
          <w:sz w:val="26"/>
          <w:szCs w:val="26"/>
        </w:rPr>
        <w:t>The survey indicated that the b</w:t>
      </w:r>
      <w:r w:rsidRPr="00BF2F17">
        <w:rPr>
          <w:sz w:val="26"/>
          <w:szCs w:val="26"/>
        </w:rPr>
        <w:t>est way to receive information is:</w:t>
      </w:r>
    </w:p>
    <w:p w14:paraId="1E726598" w14:textId="77777777" w:rsidR="001464C0" w:rsidRPr="001464C0" w:rsidRDefault="00BF2F17" w:rsidP="001464C0">
      <w:pPr>
        <w:numPr>
          <w:ilvl w:val="0"/>
          <w:numId w:val="2"/>
        </w:numPr>
        <w:shd w:val="clear" w:color="auto" w:fill="FFFFFF"/>
        <w:spacing w:after="0" w:line="240" w:lineRule="auto"/>
        <w:ind w:left="1080"/>
        <w:rPr>
          <w:rFonts w:ascii="Calibri" w:eastAsia="Times New Roman" w:hAnsi="Calibri" w:cs="Calibri"/>
          <w:color w:val="222222"/>
          <w:sz w:val="26"/>
          <w:szCs w:val="26"/>
          <w:lang w:eastAsia="en-AU"/>
        </w:rPr>
      </w:pPr>
      <w:r w:rsidRPr="00BF2F17">
        <w:rPr>
          <w:rFonts w:ascii="Calibri" w:eastAsia="Times New Roman" w:hAnsi="Calibri" w:cs="Calibri"/>
          <w:color w:val="222222"/>
          <w:sz w:val="26"/>
          <w:szCs w:val="26"/>
          <w:lang w:eastAsia="en-AU"/>
        </w:rPr>
        <w:t>Newsletter of web posts</w:t>
      </w:r>
    </w:p>
    <w:p w14:paraId="25B04A1E" w14:textId="77777777" w:rsidR="001464C0" w:rsidRPr="001464C0" w:rsidRDefault="00BF2F17" w:rsidP="001464C0">
      <w:pPr>
        <w:numPr>
          <w:ilvl w:val="0"/>
          <w:numId w:val="2"/>
        </w:numPr>
        <w:shd w:val="clear" w:color="auto" w:fill="FFFFFF"/>
        <w:spacing w:after="0" w:line="240" w:lineRule="auto"/>
        <w:ind w:left="1080"/>
        <w:rPr>
          <w:rFonts w:ascii="Calibri" w:eastAsia="Times New Roman" w:hAnsi="Calibri" w:cs="Calibri"/>
          <w:color w:val="222222"/>
          <w:sz w:val="26"/>
          <w:szCs w:val="26"/>
          <w:lang w:eastAsia="en-AU"/>
        </w:rPr>
      </w:pPr>
      <w:r w:rsidRPr="00BF2F17">
        <w:rPr>
          <w:rFonts w:ascii="Calibri" w:eastAsia="Times New Roman" w:hAnsi="Calibri" w:cs="Calibri"/>
          <w:color w:val="222222"/>
          <w:sz w:val="26"/>
          <w:szCs w:val="26"/>
          <w:lang w:eastAsia="en-AU"/>
        </w:rPr>
        <w:t>Information rich website</w:t>
      </w:r>
    </w:p>
    <w:p w14:paraId="771828D4" w14:textId="4EBCA3FA" w:rsidR="001464C0" w:rsidRPr="001464C0" w:rsidRDefault="006615E2" w:rsidP="001464C0">
      <w:pPr>
        <w:numPr>
          <w:ilvl w:val="0"/>
          <w:numId w:val="2"/>
        </w:numPr>
        <w:shd w:val="clear" w:color="auto" w:fill="FFFFFF"/>
        <w:spacing w:after="0" w:line="240" w:lineRule="auto"/>
        <w:ind w:left="1080"/>
        <w:rPr>
          <w:rFonts w:ascii="Calibri" w:eastAsia="Times New Roman" w:hAnsi="Calibri" w:cs="Calibri"/>
          <w:color w:val="222222"/>
          <w:sz w:val="26"/>
          <w:szCs w:val="26"/>
          <w:lang w:eastAsia="en-AU"/>
        </w:rPr>
      </w:pPr>
      <w:r>
        <w:rPr>
          <w:rFonts w:ascii="Calibri" w:eastAsia="Times New Roman" w:hAnsi="Calibri" w:cs="Calibri"/>
          <w:color w:val="222222"/>
          <w:sz w:val="26"/>
          <w:szCs w:val="26"/>
          <w:lang w:eastAsia="en-AU"/>
        </w:rPr>
        <w:t>Forum</w:t>
      </w:r>
    </w:p>
    <w:p w14:paraId="74E3353D" w14:textId="77777777" w:rsidR="001464C0" w:rsidRPr="001464C0" w:rsidRDefault="00BF2F17" w:rsidP="001464C0">
      <w:pPr>
        <w:numPr>
          <w:ilvl w:val="0"/>
          <w:numId w:val="2"/>
        </w:numPr>
        <w:shd w:val="clear" w:color="auto" w:fill="FFFFFF"/>
        <w:spacing w:after="0" w:line="240" w:lineRule="auto"/>
        <w:ind w:left="1080"/>
        <w:rPr>
          <w:rFonts w:ascii="Calibri" w:eastAsia="Times New Roman" w:hAnsi="Calibri" w:cs="Calibri"/>
          <w:color w:val="222222"/>
          <w:sz w:val="26"/>
          <w:szCs w:val="26"/>
          <w:lang w:eastAsia="en-AU"/>
        </w:rPr>
      </w:pPr>
      <w:r w:rsidRPr="00BF2F17">
        <w:rPr>
          <w:rFonts w:ascii="Calibri" w:eastAsia="Times New Roman" w:hAnsi="Calibri" w:cs="Calibri"/>
          <w:color w:val="222222"/>
          <w:sz w:val="26"/>
          <w:szCs w:val="26"/>
          <w:lang w:eastAsia="en-AU"/>
        </w:rPr>
        <w:t>Seminars</w:t>
      </w:r>
    </w:p>
    <w:p w14:paraId="4B7E5879" w14:textId="77777777" w:rsidR="001464C0" w:rsidRPr="00BF2F17" w:rsidRDefault="00BF2F17" w:rsidP="001464C0">
      <w:pPr>
        <w:numPr>
          <w:ilvl w:val="0"/>
          <w:numId w:val="2"/>
        </w:numPr>
        <w:shd w:val="clear" w:color="auto" w:fill="FFFFFF"/>
        <w:spacing w:after="0" w:line="240" w:lineRule="auto"/>
        <w:ind w:left="1080"/>
        <w:rPr>
          <w:rFonts w:ascii="Calibri" w:eastAsia="Times New Roman" w:hAnsi="Calibri" w:cs="Calibri"/>
          <w:color w:val="222222"/>
          <w:sz w:val="26"/>
          <w:szCs w:val="26"/>
          <w:lang w:eastAsia="en-AU"/>
        </w:rPr>
      </w:pPr>
      <w:r w:rsidRPr="00BF2F17">
        <w:rPr>
          <w:rFonts w:ascii="Calibri" w:eastAsia="Times New Roman" w:hAnsi="Calibri" w:cs="Calibri"/>
          <w:color w:val="222222"/>
          <w:sz w:val="26"/>
          <w:szCs w:val="26"/>
          <w:lang w:eastAsia="en-AU"/>
        </w:rPr>
        <w:t>Online learning</w:t>
      </w:r>
    </w:p>
    <w:p w14:paraId="491508C7" w14:textId="77777777" w:rsidR="00BF2F17" w:rsidRPr="00BF2F17" w:rsidRDefault="00BF2F17" w:rsidP="00BF2F17">
      <w:pPr>
        <w:shd w:val="clear" w:color="auto" w:fill="FFFFFF"/>
        <w:spacing w:after="0" w:line="240" w:lineRule="auto"/>
        <w:rPr>
          <w:rFonts w:ascii="Calibri" w:eastAsia="Times New Roman" w:hAnsi="Calibri" w:cs="Calibri"/>
          <w:color w:val="222222"/>
          <w:sz w:val="26"/>
          <w:szCs w:val="26"/>
          <w:lang w:eastAsia="en-AU"/>
        </w:rPr>
      </w:pPr>
    </w:p>
    <w:p w14:paraId="2D7D656F" w14:textId="53C08DCA" w:rsidR="001464C0" w:rsidRPr="00BF2F17" w:rsidRDefault="00BF2F17" w:rsidP="008E163C">
      <w:pPr>
        <w:shd w:val="clear" w:color="auto" w:fill="FFFFFF"/>
        <w:spacing w:after="0" w:line="240" w:lineRule="auto"/>
        <w:rPr>
          <w:sz w:val="26"/>
          <w:szCs w:val="26"/>
        </w:rPr>
      </w:pPr>
      <w:r w:rsidRPr="00BF2F17">
        <w:rPr>
          <w:rFonts w:ascii="Calibri" w:eastAsia="Times New Roman" w:hAnsi="Calibri" w:cs="Calibri"/>
          <w:b/>
          <w:color w:val="222222"/>
          <w:sz w:val="26"/>
          <w:szCs w:val="26"/>
          <w:lang w:eastAsia="en-AU"/>
        </w:rPr>
        <w:t>Sustainability:</w:t>
      </w:r>
      <w:r w:rsidRPr="00BF2F17">
        <w:rPr>
          <w:rFonts w:ascii="Calibri" w:eastAsia="Times New Roman" w:hAnsi="Calibri" w:cs="Calibri"/>
          <w:color w:val="222222"/>
          <w:sz w:val="26"/>
          <w:szCs w:val="26"/>
          <w:lang w:eastAsia="en-AU"/>
        </w:rPr>
        <w:t xml:space="preserve"> </w:t>
      </w:r>
      <w:r w:rsidR="001464C0" w:rsidRPr="001464C0">
        <w:rPr>
          <w:rFonts w:ascii="Calibri" w:eastAsia="Times New Roman" w:hAnsi="Calibri" w:cs="Calibri"/>
          <w:color w:val="222222"/>
          <w:sz w:val="26"/>
          <w:szCs w:val="26"/>
          <w:lang w:eastAsia="en-AU"/>
        </w:rPr>
        <w:t>We will continue to seek maximum leverage from our work w</w:t>
      </w:r>
      <w:r w:rsidRPr="00BF2F17">
        <w:rPr>
          <w:rFonts w:ascii="Calibri" w:eastAsia="Times New Roman" w:hAnsi="Calibri" w:cs="Calibri"/>
          <w:color w:val="222222"/>
          <w:sz w:val="26"/>
          <w:szCs w:val="26"/>
          <w:lang w:eastAsia="en-AU"/>
        </w:rPr>
        <w:t>ithin a modest financial model.</w:t>
      </w:r>
      <w:r w:rsidR="00C61514" w:rsidRPr="00BF2F17">
        <w:rPr>
          <w:sz w:val="26"/>
          <w:szCs w:val="26"/>
        </w:rPr>
        <w:t xml:space="preserve">  </w:t>
      </w:r>
    </w:p>
    <w:sectPr w:rsidR="001464C0" w:rsidRPr="00BF2F17" w:rsidSect="00EC3A98">
      <w:pgSz w:w="11906" w:h="16838"/>
      <w:pgMar w:top="1021"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40B"/>
    <w:multiLevelType w:val="multilevel"/>
    <w:tmpl w:val="DA7A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90C33"/>
    <w:multiLevelType w:val="multilevel"/>
    <w:tmpl w:val="5FF25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F1C96"/>
    <w:multiLevelType w:val="multilevel"/>
    <w:tmpl w:val="CE3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4914ED"/>
    <w:multiLevelType w:val="multilevel"/>
    <w:tmpl w:val="DA7A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F"/>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464C0"/>
    <w:rsid w:val="00153A25"/>
    <w:rsid w:val="0015715F"/>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0FDA"/>
    <w:rsid w:val="003658DE"/>
    <w:rsid w:val="003745C7"/>
    <w:rsid w:val="0037796E"/>
    <w:rsid w:val="00386A51"/>
    <w:rsid w:val="003A4CC0"/>
    <w:rsid w:val="003A6FA7"/>
    <w:rsid w:val="003C2A45"/>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615E2"/>
    <w:rsid w:val="00672A47"/>
    <w:rsid w:val="00674C44"/>
    <w:rsid w:val="00680CEC"/>
    <w:rsid w:val="00696422"/>
    <w:rsid w:val="006A0857"/>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8E163C"/>
    <w:rsid w:val="00904E96"/>
    <w:rsid w:val="00923C3E"/>
    <w:rsid w:val="0092433C"/>
    <w:rsid w:val="009279CA"/>
    <w:rsid w:val="009546DF"/>
    <w:rsid w:val="00982596"/>
    <w:rsid w:val="009B681B"/>
    <w:rsid w:val="009B7A16"/>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2F17"/>
    <w:rsid w:val="00BF71B2"/>
    <w:rsid w:val="00C175F8"/>
    <w:rsid w:val="00C3102E"/>
    <w:rsid w:val="00C373E3"/>
    <w:rsid w:val="00C40F7D"/>
    <w:rsid w:val="00C465DD"/>
    <w:rsid w:val="00C46C2A"/>
    <w:rsid w:val="00C61514"/>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EC3A98"/>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C291"/>
  <w15:chartTrackingRefBased/>
  <w15:docId w15:val="{5CF8FFD0-2CDB-4F60-A4E7-95038739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6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7</cp:revision>
  <cp:lastPrinted>2018-08-30T07:12:00Z</cp:lastPrinted>
  <dcterms:created xsi:type="dcterms:W3CDTF">2018-08-28T00:14:00Z</dcterms:created>
  <dcterms:modified xsi:type="dcterms:W3CDTF">2018-09-21T06:22:00Z</dcterms:modified>
</cp:coreProperties>
</file>